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10432" w:type="dxa"/>
        <w:tblBorders>
          <w:top w:val="single" w:sz="6" w:space="0" w:color="auto"/>
          <w:left w:val="single" w:sz="6" w:space="0" w:color="auto"/>
          <w:bottom w:val="single" w:sz="6" w:space="0" w:color="auto"/>
          <w:right w:val="single" w:sz="6" w:space="0" w:color="auto"/>
        </w:tblBorders>
        <w:tblLayout w:type="fixed"/>
        <w:tblCellMar>
          <w:top w:w="28" w:type="dxa"/>
          <w:left w:w="28" w:type="dxa"/>
          <w:right w:w="28" w:type="dxa"/>
        </w:tblCellMar>
        <w:tblLook w:val="0000"/>
      </w:tblPr>
      <w:tblGrid>
        <w:gridCol w:w="5216"/>
        <w:gridCol w:w="2608"/>
        <w:gridCol w:w="1304"/>
        <w:gridCol w:w="1304"/>
      </w:tblGrid>
      <w:tr w14:paraId="4DEF3FA0" w14:textId="77777777" w:rsidTr="009D6EEF">
        <w:tblPrEx>
          <w:tblW w:w="10432" w:type="dxa"/>
          <w:tblBorders>
            <w:top w:val="single" w:sz="6" w:space="0" w:color="auto"/>
            <w:left w:val="single" w:sz="6" w:space="0" w:color="auto"/>
            <w:bottom w:val="single" w:sz="6" w:space="0" w:color="auto"/>
            <w:right w:val="single" w:sz="6" w:space="0" w:color="auto"/>
          </w:tblBorders>
          <w:tblLayout w:type="fixed"/>
          <w:tblCellMar>
            <w:top w:w="28" w:type="dxa"/>
            <w:left w:w="28" w:type="dxa"/>
            <w:right w:w="28" w:type="dxa"/>
          </w:tblCellMar>
          <w:tblLook w:val="0000"/>
        </w:tblPrEx>
        <w:trPr>
          <w:cantSplit/>
          <w:trHeight w:val="435"/>
        </w:trPr>
        <w:tc>
          <w:tcPr>
            <w:tcW w:w="5216" w:type="dxa"/>
            <w:vMerge w:val="restart"/>
            <w:tcBorders>
              <w:top w:val="nil"/>
              <w:left w:val="nil"/>
            </w:tcBorders>
          </w:tcPr>
          <w:p w:rsidR="008853C0" w:rsidP="00A44D4E" w14:paraId="4ABC2CFE" w14:textId="77777777">
            <w:pPr>
              <w:pStyle w:val="Logotyp"/>
            </w:pPr>
            <w:r>
              <w:rPr>
                <w:noProof/>
              </w:rPr>
              <w:drawing>
                <wp:inline distT="0" distB="0" distL="0" distR="0">
                  <wp:extent cx="2514600" cy="571500"/>
                  <wp:effectExtent l="0" t="0" r="0" b="0"/>
                  <wp:docPr id="1" name="Bild 1" descr="Logotyp Bengtsfor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yp Bengtsfors kommun"/>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514600" cy="571500"/>
                          </a:xfrm>
                          <a:prstGeom prst="rect">
                            <a:avLst/>
                          </a:prstGeom>
                          <a:noFill/>
                          <a:ln>
                            <a:noFill/>
                          </a:ln>
                        </pic:spPr>
                      </pic:pic>
                    </a:graphicData>
                  </a:graphic>
                </wp:inline>
              </w:drawing>
            </w:r>
          </w:p>
          <w:p w:rsidR="008853C0" w:rsidRPr="00764DEC" w:rsidP="009D6EEF" w14:paraId="3016DDA6" w14:textId="77777777">
            <w:pPr>
              <w:pStyle w:val="Header"/>
              <w:rPr>
                <w:b/>
                <w:bCs/>
              </w:rPr>
            </w:pPr>
            <w:r>
              <w:rPr>
                <w:b/>
                <w:bCs/>
              </w:rPr>
              <w:t>Kommunledningskontoret</w:t>
            </w:r>
          </w:p>
          <w:p w:rsidR="002A27C6" w:rsidP="009D6EEF" w14:paraId="7841E6D1" w14:textId="77777777">
            <w:pPr>
              <w:pStyle w:val="Header"/>
            </w:pPr>
            <w:r>
              <w:t>Tanja Mattsson</w:t>
            </w:r>
          </w:p>
          <w:p w:rsidR="008853C0" w:rsidRPr="00BA066B" w:rsidP="009D6EEF" w14:paraId="1340E500" w14:textId="77777777">
            <w:pPr>
              <w:pStyle w:val="Header"/>
            </w:pPr>
            <w:r>
              <w:t>tanja.mattsson</w:t>
            </w:r>
            <w:r w:rsidR="00265332">
              <w:t>@bengtsfors.se</w:t>
            </w:r>
          </w:p>
        </w:tc>
        <w:tc>
          <w:tcPr>
            <w:tcW w:w="3912" w:type="dxa"/>
            <w:gridSpan w:val="2"/>
            <w:tcBorders>
              <w:top w:val="nil"/>
            </w:tcBorders>
            <w:vAlign w:val="bottom"/>
          </w:tcPr>
          <w:p w:rsidR="008853C0" w:rsidRPr="00422A38" w:rsidP="009D6EEF" w14:paraId="3B9DFB41" w14:textId="77777777">
            <w:pPr>
              <w:pStyle w:val="Header"/>
              <w:rPr>
                <w:b/>
                <w:bCs/>
              </w:rPr>
            </w:pPr>
          </w:p>
        </w:tc>
        <w:tc>
          <w:tcPr>
            <w:tcW w:w="1304" w:type="dxa"/>
            <w:tcBorders>
              <w:top w:val="nil"/>
              <w:right w:val="nil"/>
            </w:tcBorders>
            <w:vAlign w:val="bottom"/>
          </w:tcPr>
          <w:p w:rsidR="008853C0" w:rsidP="009D6EEF" w14:paraId="36BCC6AE" w14:textId="77777777">
            <w:pPr>
              <w:pStyle w:val="Sidhuvudledtext"/>
              <w:rPr>
                <w:rStyle w:val="PageNumber"/>
              </w:rPr>
            </w:pPr>
            <w:r>
              <w:rPr>
                <w:rStyle w:val="PageNumber"/>
              </w:rPr>
              <w:t>Sida</w:t>
            </w:r>
          </w:p>
          <w:p w:rsidR="008853C0" w:rsidRPr="00BA066B" w:rsidP="009D6EEF" w14:paraId="031EC16E" w14:textId="77777777">
            <w:pPr>
              <w:pStyle w:val="Header"/>
            </w:pPr>
            <w:r w:rsidRPr="00BA066B">
              <w:rPr>
                <w:rStyle w:val="PageNumber"/>
              </w:rPr>
              <w:fldChar w:fldCharType="begin"/>
            </w:r>
            <w:r w:rsidRPr="00BA066B">
              <w:rPr>
                <w:rStyle w:val="PageNumber"/>
              </w:rPr>
              <w:instrText xml:space="preserve"> PAGE </w:instrText>
            </w:r>
            <w:r w:rsidRPr="00BA066B">
              <w:rPr>
                <w:rStyle w:val="PageNumber"/>
              </w:rPr>
              <w:fldChar w:fldCharType="separate"/>
            </w:r>
            <w:r>
              <w:rPr>
                <w:rStyle w:val="PageNumber"/>
                <w:noProof/>
              </w:rPr>
              <w:t>1</w:t>
            </w:r>
            <w:r w:rsidRPr="00BA066B">
              <w:rPr>
                <w:rStyle w:val="PageNumber"/>
              </w:rPr>
              <w:fldChar w:fldCharType="end"/>
            </w:r>
            <w:r w:rsidRPr="00BA066B">
              <w:rPr>
                <w:rStyle w:val="PageNumber"/>
              </w:rPr>
              <w:t>(</w:t>
            </w:r>
            <w:r w:rsidRPr="00BA066B">
              <w:rPr>
                <w:rStyle w:val="PageNumber"/>
              </w:rPr>
              <w:fldChar w:fldCharType="begin"/>
            </w:r>
            <w:r w:rsidRPr="00BA066B">
              <w:rPr>
                <w:rStyle w:val="PageNumber"/>
              </w:rPr>
              <w:instrText xml:space="preserve"> NUMPAGES </w:instrText>
            </w:r>
            <w:r w:rsidRPr="00BA066B">
              <w:rPr>
                <w:rStyle w:val="PageNumber"/>
              </w:rPr>
              <w:fldChar w:fldCharType="separate"/>
            </w:r>
            <w:r w:rsidR="00265332">
              <w:rPr>
                <w:rStyle w:val="PageNumber"/>
                <w:noProof/>
              </w:rPr>
              <w:t>1</w:t>
            </w:r>
            <w:r w:rsidRPr="00BA066B">
              <w:rPr>
                <w:rStyle w:val="PageNumber"/>
              </w:rPr>
              <w:fldChar w:fldCharType="end"/>
            </w:r>
            <w:r w:rsidRPr="00BA066B">
              <w:rPr>
                <w:rStyle w:val="PageNumber"/>
              </w:rPr>
              <w:t>)</w:t>
            </w:r>
          </w:p>
        </w:tc>
      </w:tr>
      <w:tr w14:paraId="6BCEBB41" w14:textId="77777777" w:rsidTr="009D6EEF">
        <w:tblPrEx>
          <w:tblW w:w="10432" w:type="dxa"/>
          <w:tblLayout w:type="fixed"/>
          <w:tblCellMar>
            <w:top w:w="28" w:type="dxa"/>
            <w:left w:w="28" w:type="dxa"/>
            <w:right w:w="28" w:type="dxa"/>
          </w:tblCellMar>
          <w:tblLook w:val="0000"/>
        </w:tblPrEx>
        <w:trPr>
          <w:cantSplit/>
          <w:trHeight w:val="720"/>
        </w:trPr>
        <w:tc>
          <w:tcPr>
            <w:tcW w:w="5216" w:type="dxa"/>
            <w:vMerge/>
            <w:tcBorders>
              <w:left w:val="nil"/>
            </w:tcBorders>
          </w:tcPr>
          <w:p w:rsidR="008853C0" w:rsidRPr="00BA066B" w:rsidP="009D6EEF" w14:paraId="6E68AC79" w14:textId="77777777">
            <w:pPr>
              <w:pStyle w:val="Tabell"/>
            </w:pPr>
          </w:p>
        </w:tc>
        <w:tc>
          <w:tcPr>
            <w:tcW w:w="2608" w:type="dxa"/>
            <w:tcBorders>
              <w:top w:val="nil"/>
            </w:tcBorders>
          </w:tcPr>
          <w:p w:rsidR="008853C0" w:rsidP="009D6EEF" w14:paraId="40AD9C83" w14:textId="77777777">
            <w:pPr>
              <w:pStyle w:val="Sidhuvudledtext"/>
            </w:pPr>
            <w:r>
              <w:t>Datum</w:t>
            </w:r>
          </w:p>
          <w:p w:rsidR="008853C0" w:rsidRPr="00BA066B" w:rsidP="009D6EEF" w14:paraId="5F5A1F7C" w14:textId="77777777">
            <w:pPr>
              <w:pStyle w:val="Header"/>
            </w:pPr>
            <w:r>
              <w:t>202</w:t>
            </w:r>
            <w:r w:rsidR="00994A76">
              <w:t>5-01-09</w:t>
            </w:r>
          </w:p>
        </w:tc>
        <w:tc>
          <w:tcPr>
            <w:tcW w:w="2608" w:type="dxa"/>
            <w:gridSpan w:val="2"/>
            <w:tcBorders>
              <w:top w:val="nil"/>
              <w:right w:val="nil"/>
            </w:tcBorders>
          </w:tcPr>
          <w:p w:rsidR="008853C0" w:rsidP="009D6EEF" w14:paraId="1F76C658" w14:textId="77777777">
            <w:pPr>
              <w:pStyle w:val="Sidhuvudledtext"/>
            </w:pPr>
          </w:p>
          <w:p w:rsidR="008853C0" w:rsidRPr="00BA066B" w:rsidP="009D6EEF" w14:paraId="2AA3DFD5" w14:textId="77777777">
            <w:pPr>
              <w:pStyle w:val="Header"/>
            </w:pPr>
          </w:p>
        </w:tc>
      </w:tr>
      <w:tr w14:paraId="37B16291" w14:textId="77777777" w:rsidTr="009D6EEF">
        <w:tblPrEx>
          <w:tblW w:w="10432" w:type="dxa"/>
          <w:tblLayout w:type="fixed"/>
          <w:tblCellMar>
            <w:top w:w="28" w:type="dxa"/>
            <w:left w:w="28" w:type="dxa"/>
            <w:right w:w="28" w:type="dxa"/>
          </w:tblCellMar>
          <w:tblLook w:val="0000"/>
        </w:tblPrEx>
        <w:trPr>
          <w:cantSplit/>
          <w:trHeight w:val="720"/>
        </w:trPr>
        <w:tc>
          <w:tcPr>
            <w:tcW w:w="5216" w:type="dxa"/>
            <w:vMerge/>
            <w:tcBorders>
              <w:left w:val="nil"/>
            </w:tcBorders>
            <w:vAlign w:val="bottom"/>
          </w:tcPr>
          <w:p w:rsidR="008853C0" w:rsidRPr="00BA066B" w:rsidP="009D6EEF" w14:paraId="74F29463" w14:textId="77777777">
            <w:pPr>
              <w:pStyle w:val="Header"/>
              <w:rPr>
                <w:b/>
                <w:bCs/>
              </w:rPr>
            </w:pPr>
          </w:p>
        </w:tc>
        <w:tc>
          <w:tcPr>
            <w:tcW w:w="2608" w:type="dxa"/>
            <w:tcBorders>
              <w:top w:val="nil"/>
            </w:tcBorders>
          </w:tcPr>
          <w:p w:rsidR="008853C0" w:rsidP="009D6EEF" w14:paraId="193389D6" w14:textId="77777777">
            <w:pPr>
              <w:pStyle w:val="Sidhuvudledtext"/>
            </w:pPr>
          </w:p>
          <w:p w:rsidR="008853C0" w:rsidRPr="00E67285" w:rsidP="009D6EEF" w14:paraId="693B918F" w14:textId="77777777">
            <w:pPr>
              <w:pStyle w:val="Header"/>
            </w:pPr>
          </w:p>
        </w:tc>
        <w:tc>
          <w:tcPr>
            <w:tcW w:w="2608" w:type="dxa"/>
            <w:gridSpan w:val="2"/>
            <w:tcBorders>
              <w:top w:val="nil"/>
              <w:right w:val="nil"/>
            </w:tcBorders>
          </w:tcPr>
          <w:p w:rsidR="008853C0" w:rsidP="009D6EEF" w14:paraId="2D4C0B58" w14:textId="77777777">
            <w:pPr>
              <w:pStyle w:val="Sidhuvudledtext"/>
            </w:pPr>
          </w:p>
          <w:p w:rsidR="008853C0" w:rsidRPr="00E67285" w:rsidP="009D6EEF" w14:paraId="595BF420" w14:textId="77777777">
            <w:pPr>
              <w:pStyle w:val="Header"/>
            </w:pPr>
          </w:p>
        </w:tc>
      </w:tr>
      <w:tr w14:paraId="6431A7AD" w14:textId="77777777" w:rsidTr="009D6EEF">
        <w:tblPrEx>
          <w:tblW w:w="10432" w:type="dxa"/>
          <w:tblBorders>
            <w:top w:val="none" w:sz="0" w:space="0" w:color="auto"/>
            <w:left w:val="none" w:sz="0" w:space="0" w:color="auto"/>
            <w:bottom w:val="none" w:sz="0" w:space="0" w:color="auto"/>
            <w:right w:val="none" w:sz="0" w:space="0" w:color="auto"/>
          </w:tblBorders>
          <w:tblLayout w:type="fixed"/>
          <w:tblCellMar>
            <w:top w:w="28" w:type="dxa"/>
            <w:left w:w="28" w:type="dxa"/>
            <w:right w:w="28" w:type="dxa"/>
          </w:tblCellMar>
          <w:tblLook w:val="0000"/>
        </w:tblPrEx>
        <w:trPr>
          <w:cantSplit/>
          <w:trHeight w:hRule="exact" w:val="240"/>
        </w:trPr>
        <w:tc>
          <w:tcPr>
            <w:tcW w:w="10432" w:type="dxa"/>
            <w:gridSpan w:val="4"/>
          </w:tcPr>
          <w:p w:rsidR="008853C0" w:rsidRPr="00BA066B" w:rsidP="009D6EEF" w14:paraId="2B1F2094" w14:textId="77777777">
            <w:pPr>
              <w:pStyle w:val="Header"/>
            </w:pPr>
          </w:p>
        </w:tc>
      </w:tr>
      <w:tr w14:paraId="0223E9D6" w14:textId="77777777" w:rsidTr="009D6EEF">
        <w:tblPrEx>
          <w:tblW w:w="10432" w:type="dxa"/>
          <w:tblBorders>
            <w:top w:val="none" w:sz="0" w:space="0" w:color="auto"/>
            <w:left w:val="none" w:sz="0" w:space="0" w:color="auto"/>
            <w:bottom w:val="none" w:sz="0" w:space="0" w:color="auto"/>
            <w:right w:val="none" w:sz="0" w:space="0" w:color="auto"/>
          </w:tblBorders>
          <w:tblLayout w:type="fixed"/>
          <w:tblCellMar>
            <w:top w:w="28" w:type="dxa"/>
            <w:left w:w="28" w:type="dxa"/>
            <w:right w:w="28" w:type="dxa"/>
          </w:tblCellMar>
          <w:tblLook w:val="0000"/>
        </w:tblPrEx>
        <w:trPr>
          <w:cantSplit/>
          <w:trHeight w:hRule="exact" w:val="1200"/>
        </w:trPr>
        <w:tc>
          <w:tcPr>
            <w:tcW w:w="5216" w:type="dxa"/>
          </w:tcPr>
          <w:p w:rsidR="008853C0" w:rsidRPr="00BA066B" w:rsidP="009D6EEF" w14:paraId="5FFA96D9" w14:textId="77777777">
            <w:pPr>
              <w:pStyle w:val="Header"/>
            </w:pPr>
          </w:p>
        </w:tc>
        <w:tc>
          <w:tcPr>
            <w:tcW w:w="5216" w:type="dxa"/>
            <w:gridSpan w:val="3"/>
          </w:tcPr>
          <w:p w:rsidR="008853C0" w:rsidRPr="00BA066B" w:rsidP="009D6EEF" w14:paraId="2B79FE77" w14:textId="77777777">
            <w:pPr>
              <w:pStyle w:val="Header"/>
            </w:pPr>
          </w:p>
        </w:tc>
      </w:tr>
      <w:tr w14:paraId="252A3669" w14:textId="77777777" w:rsidTr="009D6EEF">
        <w:tblPrEx>
          <w:tblW w:w="10432" w:type="dxa"/>
          <w:tblBorders>
            <w:top w:val="none" w:sz="0" w:space="0" w:color="auto"/>
            <w:left w:val="none" w:sz="0" w:space="0" w:color="auto"/>
            <w:bottom w:val="none" w:sz="0" w:space="0" w:color="auto"/>
            <w:right w:val="none" w:sz="0" w:space="0" w:color="auto"/>
          </w:tblBorders>
          <w:tblLayout w:type="fixed"/>
          <w:tblCellMar>
            <w:top w:w="28" w:type="dxa"/>
            <w:left w:w="28" w:type="dxa"/>
            <w:right w:w="28" w:type="dxa"/>
          </w:tblCellMar>
          <w:tblLook w:val="0000"/>
        </w:tblPrEx>
        <w:trPr>
          <w:cantSplit/>
          <w:trHeight w:hRule="exact" w:val="240"/>
        </w:trPr>
        <w:tc>
          <w:tcPr>
            <w:tcW w:w="10432" w:type="dxa"/>
            <w:gridSpan w:val="4"/>
          </w:tcPr>
          <w:p w:rsidR="008853C0" w:rsidRPr="00BA066B" w:rsidP="009D6EEF" w14:paraId="36CE589C" w14:textId="77777777">
            <w:pPr>
              <w:pStyle w:val="Header"/>
            </w:pPr>
          </w:p>
        </w:tc>
      </w:tr>
    </w:tbl>
    <w:p w:rsidR="00664C06" w:rsidP="00842F76" w14:paraId="5F762D8A" w14:textId="77777777">
      <w:pPr>
        <w:pStyle w:val="Heading1"/>
      </w:pPr>
      <w:r>
        <w:t xml:space="preserve">Riktlinjer för en </w:t>
      </w:r>
      <w:r w:rsidR="00036C8E">
        <w:t xml:space="preserve">hållbar </w:t>
      </w:r>
      <w:r>
        <w:t>bemanning</w:t>
      </w:r>
      <w:r w:rsidR="00036C8E">
        <w:t xml:space="preserve"> med heltid som norm</w:t>
      </w:r>
      <w:r>
        <w:t xml:space="preserve"> inom det sociala området</w:t>
      </w:r>
    </w:p>
    <w:p w:rsidR="00664C06" w:rsidP="00664C06" w14:paraId="53BDE757" w14:textId="77777777">
      <w:r>
        <w:t>Medarbetarna är vår</w:t>
      </w:r>
      <w:r w:rsidRPr="00C01C93">
        <w:t xml:space="preserve"> viktigaste resurs.</w:t>
      </w:r>
      <w:r>
        <w:t xml:space="preserve"> Det är medarbetarna som är närmast de personer vi varje dag ger stöd, vård och hjälp och vars insatser många gånger är direkt avgörande för dessa personer</w:t>
      </w:r>
      <w:r w:rsidR="00916B30">
        <w:t>s</w:t>
      </w:r>
      <w:r>
        <w:t xml:space="preserve"> välmående, liv och hälsa. </w:t>
      </w:r>
      <w:r>
        <w:rPr>
          <w:b/>
        </w:rPr>
        <w:t xml:space="preserve">Målet för vår bemanning </w:t>
      </w:r>
      <w:r>
        <w:t xml:space="preserve">är att vi använder den tid medarbetarna arbetar i vår verksamhet på ett så bra sätt som möjligt vilket innebär </w:t>
      </w:r>
      <w:r w:rsidRPr="00C01C93">
        <w:rPr>
          <w:i/>
        </w:rPr>
        <w:t>rätt person på rätt plats vid rätt tillfälle</w:t>
      </w:r>
      <w:r>
        <w:t xml:space="preserve">. Genom att ha en väl genomtänkt bemanning förbättras arbetsmiljön för medarbetarna, kontinuiteten och kvaliteten för brukarna och vi får en ekonomi som är hållbar på sikt. </w:t>
      </w:r>
    </w:p>
    <w:p w:rsidR="00932C58" w:rsidP="00664C06" w14:paraId="3760D723" w14:textId="77777777">
      <w:r>
        <w:t xml:space="preserve">Vi vet att demografin kommer utmana oss särskilt inom det sociala området </w:t>
      </w:r>
      <w:r w:rsidR="00916B30">
        <w:t xml:space="preserve">framåt. </w:t>
      </w:r>
      <w:r>
        <w:t>Allt fler kommer då vara äldre (80+) och behöva vård och stöd samtidigt som</w:t>
      </w:r>
      <w:r w:rsidR="009F1CCC">
        <w:t xml:space="preserve"> antalet</w:t>
      </w:r>
      <w:r>
        <w:t xml:space="preserve"> personer som är i </w:t>
      </w:r>
      <w:r w:rsidR="009F1CCC">
        <w:t>arbetsför ålder minskar. Detta innebär att det kommer bli allt svårare att hitta tillräckligt med personer som kan arbeta i vård och omsorg samtidigt som behovet ökar. Att klara bemanningshanteringen på ett optimalt sätt är därför en ödesfråga för verksamheten.</w:t>
      </w:r>
    </w:p>
    <w:p w:rsidR="00664C06" w:rsidRPr="009F1CCC" w:rsidP="00664C06" w14:paraId="192A2E16" w14:textId="77777777">
      <w:pPr>
        <w:rPr>
          <w:b/>
          <w:bCs/>
          <w:sz w:val="28"/>
          <w:szCs w:val="22"/>
        </w:rPr>
      </w:pPr>
      <w:r w:rsidRPr="009F1CCC">
        <w:rPr>
          <w:b/>
          <w:bCs/>
          <w:sz w:val="28"/>
          <w:szCs w:val="22"/>
        </w:rPr>
        <w:t>Nuläge</w:t>
      </w:r>
    </w:p>
    <w:p w:rsidR="00932C58" w:rsidRPr="00932C58" w:rsidP="00664C06" w14:paraId="0236C9B4" w14:textId="77777777">
      <w:r w:rsidRPr="00932C58">
        <w:t>Idag ligger användningen av timavlönade medarbetare inom det sociala området på alldeles för höga nivåer. T</w:t>
      </w:r>
      <w:r w:rsidRPr="00932C58" w:rsidR="00EB61F4">
        <w:t xml:space="preserve">imavlönade medarbetare gör ett jätteviktigt jobb och är en viktig tillgång för verksamheten men </w:t>
      </w:r>
      <w:r w:rsidR="00916B30">
        <w:t xml:space="preserve">det </w:t>
      </w:r>
      <w:r w:rsidRPr="00932C58">
        <w:t>är en anställningsform som är tänkt att användas för korta</w:t>
      </w:r>
      <w:r w:rsidR="00916B30">
        <w:t>,</w:t>
      </w:r>
      <w:r w:rsidRPr="00932C58">
        <w:t xml:space="preserve"> tillfälliga insatser</w:t>
      </w:r>
      <w:r w:rsidR="0046622D">
        <w:t xml:space="preserve">. </w:t>
      </w:r>
      <w:r w:rsidRPr="00932C58">
        <w:t>N</w:t>
      </w:r>
      <w:r w:rsidRPr="00932C58" w:rsidR="00EB61F4">
        <w:t xml:space="preserve">är verksamheten </w:t>
      </w:r>
      <w:r w:rsidR="00916B30">
        <w:t xml:space="preserve">till för stor del </w:t>
      </w:r>
      <w:r w:rsidRPr="00932C58" w:rsidR="00EB61F4">
        <w:t>bygger på timavlön</w:t>
      </w:r>
      <w:r w:rsidRPr="00932C58">
        <w:t>a</w:t>
      </w:r>
      <w:r w:rsidRPr="00932C58" w:rsidR="00EB61F4">
        <w:t xml:space="preserve">de påverkar det verksamheten </w:t>
      </w:r>
      <w:r w:rsidRPr="00932C58">
        <w:t>negativt</w:t>
      </w:r>
      <w:r w:rsidRPr="00932C58" w:rsidR="00EB61F4">
        <w:t xml:space="preserve">. En timavlönad medarbetare </w:t>
      </w:r>
      <w:r w:rsidRPr="00932C58">
        <w:t>är anställd per arbetspass och inte tiden mellan arbetspassen</w:t>
      </w:r>
      <w:r w:rsidR="00916B30">
        <w:t xml:space="preserve"> och arbetar i genomsnitt en lägre sysselsättningsgrad än tillsvidare anställda medarbetare</w:t>
      </w:r>
      <w:r w:rsidRPr="00932C58">
        <w:t xml:space="preserve">. Timavlönade medarbetare närvarar inte på APT och inte i samma utsträckning i olika utbildningsinsatser och att hantera anställningsformen är förenat med mer administration. Detta innebär att om verksamheten i allt för stor utsträckning bygger på timavlönade påverkas kvaliteten i verksamheten negativt, fler personer krävs för att lösa bemanningen vilket innebär att brukare behöver möta fler och risken är större att bemanningspusslet inte går ihop när inte tillräckligt många timavlönade </w:t>
      </w:r>
      <w:r w:rsidR="0046622D">
        <w:t xml:space="preserve">inte </w:t>
      </w:r>
      <w:r w:rsidRPr="00932C58">
        <w:t>går att få tag på vilket ofta leder till mer övertid</w:t>
      </w:r>
      <w:r w:rsidR="0046622D">
        <w:t>.</w:t>
      </w:r>
      <w:r w:rsidRPr="00932C58">
        <w:t xml:space="preserve"> Denna typ av obalans i bemanningen leder ofta till </w:t>
      </w:r>
      <w:r w:rsidR="0046622D">
        <w:t xml:space="preserve">mer övertid och </w:t>
      </w:r>
      <w:r w:rsidRPr="00932C58">
        <w:t xml:space="preserve">högre sjukskrivningstal vilket </w:t>
      </w:r>
      <w:r w:rsidR="0046622D">
        <w:t xml:space="preserve">är slitsamt och riskerar att </w:t>
      </w:r>
      <w:r w:rsidRPr="00932C58">
        <w:t>ytterligare förvärra</w:t>
      </w:r>
      <w:r w:rsidR="0046622D">
        <w:t xml:space="preserve"> </w:t>
      </w:r>
      <w:r w:rsidRPr="00932C58">
        <w:t>situationen</w:t>
      </w:r>
      <w:r w:rsidR="0046622D">
        <w:t>. V</w:t>
      </w:r>
      <w:r w:rsidRPr="00932C58">
        <w:t>erksamheten kan hamna i en negativ spiral.</w:t>
      </w:r>
    </w:p>
    <w:p w:rsidR="005A4E1F" w:rsidP="00664C06" w14:paraId="0AE4AB5A" w14:textId="77777777">
      <w:r w:rsidRPr="005A4E1F">
        <w:rPr>
          <w:noProof/>
        </w:rPr>
        <w:drawing>
          <wp:inline distT="0" distB="0" distL="0" distR="0">
            <wp:extent cx="4929854" cy="4247515"/>
            <wp:effectExtent l="19050" t="19050" r="23495" b="1968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a:stretch>
                      <a:fillRect/>
                    </a:stretch>
                  </pic:blipFill>
                  <pic:spPr>
                    <a:xfrm>
                      <a:off x="0" y="0"/>
                      <a:ext cx="4942960" cy="4258807"/>
                    </a:xfrm>
                    <a:prstGeom prst="rect">
                      <a:avLst/>
                    </a:prstGeom>
                    <a:ln>
                      <a:solidFill>
                        <a:schemeClr val="tx1">
                          <a:lumMod val="50000"/>
                          <a:lumOff val="50000"/>
                        </a:schemeClr>
                      </a:solidFill>
                    </a:ln>
                  </pic:spPr>
                </pic:pic>
              </a:graphicData>
            </a:graphic>
          </wp:inline>
        </w:drawing>
      </w:r>
    </w:p>
    <w:p w:rsidR="00664C06" w:rsidRPr="009F1CCC" w:rsidP="00664C06" w14:paraId="018E4E94" w14:textId="77777777">
      <w:pPr>
        <w:rPr>
          <w:b/>
          <w:bCs/>
          <w:sz w:val="28"/>
          <w:szCs w:val="22"/>
        </w:rPr>
      </w:pPr>
      <w:r w:rsidRPr="009F1CCC">
        <w:rPr>
          <w:b/>
          <w:bCs/>
          <w:sz w:val="28"/>
          <w:szCs w:val="22"/>
        </w:rPr>
        <w:t>Önskat läge</w:t>
      </w:r>
    </w:p>
    <w:p w:rsidR="00664C06" w:rsidP="00664C06" w14:paraId="4B6934AF" w14:textId="77777777">
      <w:r>
        <w:t>Vård och omsorg behöver göra en förflyttning och komma till ett läge där all planerad frånvaro och även en del av den akuta frånvaron löses genom tillsvidare anställd personal istället för av timavlönade. De timavlönade medarbetarnas tid ska vara förbehållen att användas vid akut frånvaro som uppstår med 1-3 dagars varsel så som sjukdom och VAB</w:t>
      </w:r>
      <w:r w:rsidR="006551DA">
        <w:t xml:space="preserve"> (vård av barn)</w:t>
      </w:r>
      <w:r>
        <w:t xml:space="preserve">. All annan frånvaro som semester, föräldraledighet, studieledighet, tjänstledighet ska i så hög utsträckning som möjligt lösas av tillsvidare anställd personal. Undantaget är sommarperioden. </w:t>
      </w:r>
    </w:p>
    <w:p w:rsidR="005A4E1F" w:rsidP="00664C06" w14:paraId="1E16FF9D" w14:textId="77777777">
      <w:r>
        <w:t xml:space="preserve">För att detta ska lyckas krävs en större grad av delaktighet och ansvarstagande i schemaläggningen från både chef och medarbetare. Varje enhet behöver ta ett gemensamt ansvar för att lösa bemanningen och att täcka den planerade frånvaron. Detta innebär att </w:t>
      </w:r>
      <w:r w:rsidR="006551DA">
        <w:t xml:space="preserve">ett mer aktivt arbete med schemaläggningen där varje arbetsgrupp tar ett eget ansvar för schemaläggningen i den arbetsgruppen. Chefen sätter bemanningskravet, dvs. anger hur många personer som behöver vara på plats vid olika tider på dagen och medarbetarna lägger sina arbetspass efter spelregler som varje arbetsgrupp själva tar fram. I spelregler för arbetsgruppen kan ingå tex hur många helgpass som ska göras och hur dessa ska vara utformade, hur många kvällspass varje medarbetare ska göra och så vidare. Detta kallas påverkansbara scheman och möjliggör för medarbetare och arbetsgrupper att påverka sitt schema i större utsträckning. </w:t>
      </w:r>
      <w:r w:rsidR="005D3923">
        <w:t>Att arbeta med påverkansbara schema kräver förberedelse</w:t>
      </w:r>
      <w:r w:rsidR="00522E57">
        <w:t xml:space="preserve"> och kommer därför införas stegvis, en grov </w:t>
      </w:r>
      <w:r w:rsidR="0046622D">
        <w:t>tidsplan följer längre ned i dokumentet.</w:t>
      </w:r>
      <w:r w:rsidR="00522E57">
        <w:t xml:space="preserve"> En mer detaljerad tidsplan kommer tas fram för verksamheten.</w:t>
      </w:r>
    </w:p>
    <w:p w:rsidR="005A4E1F" w:rsidP="00664C06" w14:paraId="7358E081" w14:textId="77777777"/>
    <w:p w:rsidR="00664C06" w:rsidRPr="00D9646F" w:rsidP="00664C06" w14:paraId="33A9B717" w14:textId="77777777">
      <w:pPr>
        <w:rPr>
          <w:b/>
          <w:bCs/>
          <w:sz w:val="28"/>
          <w:szCs w:val="22"/>
        </w:rPr>
      </w:pPr>
      <w:r w:rsidRPr="00D9646F">
        <w:rPr>
          <w:b/>
          <w:bCs/>
          <w:sz w:val="28"/>
          <w:szCs w:val="22"/>
        </w:rPr>
        <w:t>Bem</w:t>
      </w:r>
      <w:r w:rsidRPr="00D9646F" w:rsidR="00104F4C">
        <w:rPr>
          <w:b/>
          <w:bCs/>
          <w:sz w:val="28"/>
          <w:szCs w:val="22"/>
        </w:rPr>
        <w:t>a</w:t>
      </w:r>
      <w:r w:rsidRPr="00D9646F">
        <w:rPr>
          <w:b/>
          <w:bCs/>
          <w:sz w:val="28"/>
          <w:szCs w:val="22"/>
        </w:rPr>
        <w:t>nningsstrategiska ställningstaganden</w:t>
      </w:r>
    </w:p>
    <w:p w:rsidR="000F239C" w:rsidRPr="00D9646F" w:rsidP="00994614" w14:paraId="10E1BB82" w14:textId="77777777">
      <w:pPr>
        <w:pStyle w:val="ListParagraph"/>
        <w:numPr>
          <w:ilvl w:val="0"/>
          <w:numId w:val="2"/>
        </w:numPr>
      </w:pPr>
      <w:r w:rsidRPr="00D9646F">
        <w:rPr>
          <w:rFonts w:cstheme="minorHAnsi"/>
        </w:rPr>
        <w:t xml:space="preserve">För att kunna öka den arbetade tiden av tillsvidare anställda krävs </w:t>
      </w:r>
      <w:r w:rsidRPr="00D9646F">
        <w:rPr>
          <w:rFonts w:cstheme="minorHAnsi"/>
          <w:b/>
        </w:rPr>
        <w:t>god planering och framförhållning</w:t>
      </w:r>
      <w:r w:rsidRPr="00D9646F">
        <w:rPr>
          <w:rFonts w:cstheme="minorHAnsi"/>
        </w:rPr>
        <w:t xml:space="preserve">. Vi vill att så mycket planerad frånvaro som möjligt täcks av tillsvidare anställd personal och för att det ska vara möjligt krävs att alla medarbetare tar ett ansvar i att tidigt meddela och ha framförhållning kring planerad ledighet. </w:t>
      </w:r>
    </w:p>
    <w:p w:rsidR="005A4E1F" w:rsidRPr="00D9646F" w:rsidP="005A4E1F" w14:paraId="3EE32F03" w14:textId="77777777">
      <w:pPr>
        <w:pStyle w:val="ListParagraph"/>
        <w:ind w:left="2024"/>
      </w:pPr>
    </w:p>
    <w:p w:rsidR="005A4E1F" w:rsidRPr="00D9646F" w:rsidP="00664C06" w14:paraId="2C8F5631" w14:textId="77777777">
      <w:pPr>
        <w:pStyle w:val="ListParagraph"/>
        <w:numPr>
          <w:ilvl w:val="0"/>
          <w:numId w:val="2"/>
        </w:numPr>
      </w:pPr>
      <w:r w:rsidRPr="00D9646F">
        <w:rPr>
          <w:rFonts w:cstheme="minorHAnsi"/>
        </w:rPr>
        <w:t xml:space="preserve">Vi vill öka delaktigheten och det gemensamma </w:t>
      </w:r>
      <w:r w:rsidRPr="00D9646F" w:rsidR="00104F4C">
        <w:rPr>
          <w:rFonts w:cstheme="minorHAnsi"/>
        </w:rPr>
        <w:t>ansvarstagandet</w:t>
      </w:r>
      <w:r w:rsidRPr="00D9646F">
        <w:rPr>
          <w:rFonts w:cstheme="minorHAnsi"/>
        </w:rPr>
        <w:t xml:space="preserve"> för </w:t>
      </w:r>
      <w:r w:rsidRPr="00D9646F" w:rsidR="00104F4C">
        <w:rPr>
          <w:rFonts w:cstheme="minorHAnsi"/>
        </w:rPr>
        <w:t>schemaläggningen</w:t>
      </w:r>
      <w:r w:rsidRPr="00D9646F">
        <w:rPr>
          <w:rFonts w:cstheme="minorHAnsi"/>
        </w:rPr>
        <w:t xml:space="preserve"> och därför </w:t>
      </w:r>
      <w:r w:rsidRPr="00D9646F">
        <w:rPr>
          <w:rFonts w:cstheme="minorHAnsi"/>
          <w:b/>
          <w:bCs/>
        </w:rPr>
        <w:t>återinföra påverkansbara scheman.</w:t>
      </w:r>
      <w:r w:rsidRPr="00D9646F" w:rsidR="00104F4C">
        <w:rPr>
          <w:rFonts w:cstheme="minorHAnsi"/>
          <w:b/>
          <w:bCs/>
        </w:rPr>
        <w:t xml:space="preserve"> Att</w:t>
      </w:r>
      <w:r w:rsidRPr="00D9646F" w:rsidR="00104F4C">
        <w:rPr>
          <w:rFonts w:cstheme="minorHAnsi"/>
        </w:rPr>
        <w:t xml:space="preserve"> medarbetare kan vara med och påverka sitt schema har stora fördelar både för medarbetare och verksamhet. Som medarbetare</w:t>
      </w:r>
      <w:r w:rsidRPr="00D9646F" w:rsidR="009F1CCC">
        <w:rPr>
          <w:rFonts w:cstheme="minorHAnsi"/>
        </w:rPr>
        <w:t xml:space="preserve"> vet man längre i förväg att man får ledigt och man arbetar i högre utsträckning tillsammans med tillsvidare anställd personal med utbildning, delegering och som är väl insatt i verksamheten.</w:t>
      </w:r>
    </w:p>
    <w:p w:rsidR="00D9646F" w:rsidRPr="00D9646F" w:rsidP="00D9646F" w14:paraId="11EA4FF3" w14:textId="77777777">
      <w:pPr>
        <w:pStyle w:val="ListParagraph"/>
      </w:pPr>
    </w:p>
    <w:p w:rsidR="00D9646F" w:rsidRPr="00D9646F" w:rsidP="00D9646F" w14:paraId="6509CEF4" w14:textId="77777777">
      <w:pPr>
        <w:pStyle w:val="ListParagraph"/>
        <w:numPr>
          <w:ilvl w:val="0"/>
          <w:numId w:val="2"/>
        </w:numPr>
        <w:rPr>
          <w:rFonts w:cstheme="minorHAnsi"/>
        </w:rPr>
      </w:pPr>
      <w:r w:rsidRPr="00D9646F">
        <w:t xml:space="preserve">För att möjliggöra att så mycket av den planerade frånvaron som möjligt omhändertas i schemaläggningen krävs ett </w:t>
      </w:r>
      <w:r w:rsidRPr="00D9646F">
        <w:rPr>
          <w:b/>
          <w:bCs/>
        </w:rPr>
        <w:t>aktivt arbete med schemaläggningen och kortare schemaperioder om 6, 8 eller 12 veckor</w:t>
      </w:r>
      <w:r w:rsidRPr="00D9646F">
        <w:t xml:space="preserve"> beroende på verksamhetens karaktär. Det behöver inte innebära att schemat förändras särskilt mycket från period till period, detta blir upp till varje arbetsgrupp att styra genom spelregler kring schemaläggning i just den gruppen. Särskilt schema, </w:t>
      </w:r>
      <w:r w:rsidRPr="00D9646F">
        <w:rPr>
          <w:b/>
          <w:bCs/>
        </w:rPr>
        <w:t>”storhelgsschema”</w:t>
      </w:r>
      <w:r w:rsidRPr="00D9646F">
        <w:t xml:space="preserve"> ska finnas för storhelgerna för att säkerställa en rättvis fördelning kring detta.</w:t>
      </w:r>
    </w:p>
    <w:p w:rsidR="00D9646F" w:rsidRPr="00D9646F" w:rsidP="00D9646F" w14:paraId="445550E4" w14:textId="77777777">
      <w:pPr>
        <w:pStyle w:val="ListParagraph"/>
        <w:ind w:left="2024"/>
      </w:pPr>
    </w:p>
    <w:p w:rsidR="004B645C" w:rsidRPr="00D9646F" w:rsidP="004B645C" w14:paraId="180D0409" w14:textId="77777777">
      <w:pPr>
        <w:pStyle w:val="ListParagraph"/>
        <w:numPr>
          <w:ilvl w:val="0"/>
          <w:numId w:val="2"/>
        </w:numPr>
      </w:pPr>
      <w:r w:rsidRPr="00D9646F">
        <w:rPr>
          <w:rFonts w:cstheme="minorHAnsi"/>
          <w:b/>
        </w:rPr>
        <w:t>Vi vill öka den interna rörligheten</w:t>
      </w:r>
      <w:r w:rsidRPr="00D9646F">
        <w:rPr>
          <w:rFonts w:cstheme="minorHAnsi"/>
        </w:rPr>
        <w:t xml:space="preserve">. Vi tror att genom att </w:t>
      </w:r>
      <w:r w:rsidRPr="00D9646F" w:rsidR="00104F4C">
        <w:rPr>
          <w:rFonts w:cstheme="minorHAnsi"/>
        </w:rPr>
        <w:t xml:space="preserve">genom att öka den interna rörligheten, tex att fler går mellan två eller fler olika </w:t>
      </w:r>
      <w:r w:rsidRPr="00D9646F" w:rsidR="009F1CCC">
        <w:rPr>
          <w:rFonts w:cstheme="minorHAnsi"/>
        </w:rPr>
        <w:t>avdelningar</w:t>
      </w:r>
      <w:r w:rsidRPr="00D9646F" w:rsidR="00104F4C">
        <w:rPr>
          <w:rFonts w:cstheme="minorHAnsi"/>
        </w:rPr>
        <w:t xml:space="preserve"> inom äldreomsorgen, mellan olika brukare inom personlig assistans eller mellan två LSS boenden till exempel ökar vi </w:t>
      </w:r>
      <w:r w:rsidRPr="00D9646F" w:rsidR="009F1CCC">
        <w:rPr>
          <w:rFonts w:cstheme="minorHAnsi"/>
        </w:rPr>
        <w:t>kvalitén</w:t>
      </w:r>
      <w:r w:rsidRPr="00D9646F" w:rsidR="00104F4C">
        <w:rPr>
          <w:rFonts w:cstheme="minorHAnsi"/>
        </w:rPr>
        <w:t xml:space="preserve"> och får större möjligheter att den tid som arbetas tillvaratas på rätt sätt. Medarbetare </w:t>
      </w:r>
      <w:r w:rsidRPr="00D9646F">
        <w:rPr>
          <w:rFonts w:cstheme="minorHAnsi"/>
        </w:rPr>
        <w:t xml:space="preserve">och verksamheter lär av varandra, tar med goda exempel mellan verksamheterna och vi får goda möjligheter att hjälpas åt att täcka upp för varandra i bemanningen. </w:t>
      </w:r>
      <w:r w:rsidRPr="00D9646F" w:rsidR="00672B52">
        <w:rPr>
          <w:rFonts w:cstheme="minorHAnsi"/>
        </w:rPr>
        <w:t xml:space="preserve">Detta innebär inte att </w:t>
      </w:r>
      <w:r w:rsidRPr="00D9646F" w:rsidR="00B9386C">
        <w:rPr>
          <w:rFonts w:cstheme="minorHAnsi"/>
        </w:rPr>
        <w:t>”</w:t>
      </w:r>
      <w:r w:rsidRPr="00D9646F" w:rsidR="00672B52">
        <w:rPr>
          <w:rFonts w:cstheme="minorHAnsi"/>
        </w:rPr>
        <w:t>alla ska arbeta överallt</w:t>
      </w:r>
      <w:r w:rsidRPr="00D9646F" w:rsidR="00B9386C">
        <w:rPr>
          <w:rFonts w:cstheme="minorHAnsi"/>
        </w:rPr>
        <w:t>”</w:t>
      </w:r>
      <w:r w:rsidRPr="00D9646F" w:rsidR="00672B52">
        <w:rPr>
          <w:rFonts w:cstheme="minorHAnsi"/>
        </w:rPr>
        <w:t>, närhetsprincipen gäller</w:t>
      </w:r>
      <w:r w:rsidRPr="00D9646F" w:rsidR="00B9386C">
        <w:rPr>
          <w:rFonts w:cstheme="minorHAnsi"/>
        </w:rPr>
        <w:t>;</w:t>
      </w:r>
      <w:r w:rsidRPr="00D9646F" w:rsidR="00672B52">
        <w:rPr>
          <w:rFonts w:cstheme="minorHAnsi"/>
        </w:rPr>
        <w:t xml:space="preserve"> i första hand arbetar man på </w:t>
      </w:r>
      <w:r w:rsidRPr="00D9646F" w:rsidR="00B9386C">
        <w:rPr>
          <w:rFonts w:cstheme="minorHAnsi"/>
        </w:rPr>
        <w:t xml:space="preserve">tex. på </w:t>
      </w:r>
      <w:r w:rsidRPr="00D9646F" w:rsidR="00672B52">
        <w:rPr>
          <w:rFonts w:cstheme="minorHAnsi"/>
        </w:rPr>
        <w:t xml:space="preserve">en annan avdelning </w:t>
      </w:r>
      <w:r w:rsidRPr="00D9646F" w:rsidR="00B9386C">
        <w:rPr>
          <w:rFonts w:cstheme="minorHAnsi"/>
        </w:rPr>
        <w:t xml:space="preserve">på samma äldreboende där man har sin ordinarie arbetsplats. Varje medarbetare ska vara väl introducerad den arbetsplats man gör sin tid på. </w:t>
      </w:r>
      <w:r w:rsidRPr="00D9646F" w:rsidR="00672B52">
        <w:rPr>
          <w:rFonts w:cstheme="minorHAnsi"/>
        </w:rPr>
        <w:t xml:space="preserve">Rörlighet </w:t>
      </w:r>
      <w:r w:rsidRPr="00D9646F" w:rsidR="00B9386C">
        <w:rPr>
          <w:rFonts w:cstheme="minorHAnsi"/>
        </w:rPr>
        <w:t xml:space="preserve">i verksamheten ska bygga på frivillighet och flexibilitet hos medarbetare </w:t>
      </w:r>
      <w:r w:rsidRPr="00D9646F" w:rsidR="00672B52">
        <w:rPr>
          <w:rFonts w:cstheme="minorHAnsi"/>
        </w:rPr>
        <w:t xml:space="preserve">kommer premieras i den årliga löneöversynen. </w:t>
      </w:r>
    </w:p>
    <w:p w:rsidR="004B645C" w:rsidRPr="00D9646F" w:rsidP="004B645C" w14:paraId="46609281" w14:textId="77777777">
      <w:pPr>
        <w:pStyle w:val="ListParagraph"/>
      </w:pPr>
    </w:p>
    <w:p w:rsidR="00664C06" w:rsidRPr="00D9646F" w:rsidP="00664C06" w14:paraId="01E1326A" w14:textId="77777777">
      <w:pPr>
        <w:pStyle w:val="ListParagraph"/>
        <w:numPr>
          <w:ilvl w:val="0"/>
          <w:numId w:val="2"/>
        </w:numPr>
      </w:pPr>
      <w:r w:rsidRPr="00D9646F">
        <w:rPr>
          <w:rFonts w:cstheme="minorHAnsi"/>
        </w:rPr>
        <w:t xml:space="preserve">Vi vill jobba för en </w:t>
      </w:r>
      <w:r w:rsidRPr="00D9646F">
        <w:rPr>
          <w:rFonts w:cstheme="minorHAnsi"/>
          <w:b/>
        </w:rPr>
        <w:t>hållbar schemaläggning</w:t>
      </w:r>
      <w:r w:rsidRPr="00D9646F">
        <w:rPr>
          <w:rFonts w:cstheme="minorHAnsi"/>
        </w:rPr>
        <w:t xml:space="preserve">. Det innebär att schemaläggningen inom </w:t>
      </w:r>
      <w:r w:rsidRPr="00D9646F" w:rsidR="00B9386C">
        <w:rPr>
          <w:rFonts w:cstheme="minorHAnsi"/>
        </w:rPr>
        <w:t xml:space="preserve">området </w:t>
      </w:r>
      <w:r w:rsidRPr="00D9646F">
        <w:rPr>
          <w:rFonts w:cstheme="minorHAnsi"/>
        </w:rPr>
        <w:t xml:space="preserve">ska ta utgångspunkt i det som forskning visat stödjer hälsa och hållbarhet över tid. Vi vill arbeta för att undvika allt för långa arbetspass, för att fördelningen av arbetstid är så jämn som möjligt samt att schemat ger möjlighet till återhämtning. </w:t>
      </w:r>
      <w:r w:rsidRPr="00D9646F" w:rsidR="00AB367D">
        <w:rPr>
          <w:rFonts w:cstheme="minorHAnsi"/>
        </w:rPr>
        <w:t>Två dagars sammanhängande vila per vecka ska eftersträvas. Sen kväll med påföljande tidig morgon ska undvikas. Delade turer ska inte förekomma.</w:t>
      </w:r>
    </w:p>
    <w:p w:rsidR="00664C06" w:rsidRPr="00D9646F" w:rsidP="00664C06" w14:paraId="3757ADED" w14:textId="77777777">
      <w:pPr>
        <w:pStyle w:val="ListParagraph"/>
        <w:rPr>
          <w:rFonts w:cstheme="minorHAnsi"/>
        </w:rPr>
      </w:pPr>
    </w:p>
    <w:p w:rsidR="00664C06" w:rsidRPr="00D9646F" w:rsidP="00664C06" w14:paraId="39B83764" w14:textId="77777777">
      <w:pPr>
        <w:pStyle w:val="ListParagraph"/>
        <w:numPr>
          <w:ilvl w:val="0"/>
          <w:numId w:val="2"/>
        </w:numPr>
      </w:pPr>
      <w:r w:rsidRPr="00D9646F">
        <w:rPr>
          <w:rFonts w:cstheme="minorHAnsi"/>
        </w:rPr>
        <w:t xml:space="preserve">Ingen ska behöva bli sjuk av sitt jobb: </w:t>
      </w:r>
      <w:r w:rsidRPr="00D9646F">
        <w:rPr>
          <w:rFonts w:cstheme="minorHAnsi"/>
          <w:b/>
        </w:rPr>
        <w:t>vi vill jobba aktivt för en låg sjukfrånvaro</w:t>
      </w:r>
      <w:r w:rsidRPr="00D9646F">
        <w:rPr>
          <w:rFonts w:cstheme="minorHAnsi"/>
        </w:rPr>
        <w:t xml:space="preserve">. </w:t>
      </w:r>
      <w:r w:rsidRPr="00D9646F" w:rsidR="009F1CCC">
        <w:rPr>
          <w:rFonts w:cstheme="minorHAnsi"/>
        </w:rPr>
        <w:t>En</w:t>
      </w:r>
      <w:r w:rsidRPr="00D9646F">
        <w:rPr>
          <w:rFonts w:cstheme="minorHAnsi"/>
        </w:rPr>
        <w:t xml:space="preserve"> god arbetsmiljö </w:t>
      </w:r>
      <w:r w:rsidRPr="00D9646F" w:rsidR="009F1CCC">
        <w:rPr>
          <w:rFonts w:cstheme="minorHAnsi"/>
        </w:rPr>
        <w:t xml:space="preserve">är </w:t>
      </w:r>
      <w:r w:rsidRPr="00D9646F">
        <w:rPr>
          <w:rFonts w:cstheme="minorHAnsi"/>
        </w:rPr>
        <w:t>en viktig förutsättning för att sänka sjukfrånvaron. Vi jobbar aktivt med sjukfrånvaron även genom tät uppföljning av korttidsfrånvaro och en aktiv rehabiliteringsprocess. Ett närvarande ledarskap är av avgörande vikt i detta arbete.</w:t>
      </w:r>
    </w:p>
    <w:p w:rsidR="00664C06" w:rsidRPr="00D9646F" w:rsidP="00664C06" w14:paraId="6B31BD16" w14:textId="77777777">
      <w:pPr>
        <w:pStyle w:val="ListParagraph"/>
      </w:pPr>
    </w:p>
    <w:p w:rsidR="005A4E1F" w:rsidRPr="00D9646F" w:rsidP="00994614" w14:paraId="6E2FD2F3" w14:textId="77777777">
      <w:pPr>
        <w:pStyle w:val="ListParagraph"/>
        <w:numPr>
          <w:ilvl w:val="0"/>
          <w:numId w:val="2"/>
        </w:numPr>
      </w:pPr>
      <w:r w:rsidRPr="00D9646F">
        <w:rPr>
          <w:b/>
          <w:bCs/>
        </w:rPr>
        <w:t>Heltid som norm</w:t>
      </w:r>
      <w:r w:rsidRPr="00D9646F">
        <w:t xml:space="preserve">; för att klara framtidens välfärds utmaningar behöver vi höja andelen arbetad tid av de som redan </w:t>
      </w:r>
      <w:r w:rsidRPr="00D9646F" w:rsidR="009F1CCC">
        <w:t xml:space="preserve">är tillsvidare anställda. </w:t>
      </w:r>
      <w:r w:rsidRPr="00D9646F">
        <w:t xml:space="preserve">Nya medarbetare anställs tillsvidare på heltid med resurspass, med rätt att söka tjänstledighet 1 ggr/år, förutom sommarmånaderna juni, juli, augusti. </w:t>
      </w:r>
      <w:r w:rsidRPr="00D9646F" w:rsidR="00306F4D">
        <w:t xml:space="preserve">Rätt att gå upp i tid möjlighet att ansöka om att gå ned om verksamheten tillåter </w:t>
      </w:r>
      <w:r w:rsidRPr="00D9646F">
        <w:t xml:space="preserve">När fler ökar sin sysselsättningsgrad uppstår mer tid i verksamheten vilket är ett sätt att öka andelen tid </w:t>
      </w:r>
      <w:r w:rsidRPr="00D9646F" w:rsidR="009F1CCC">
        <w:t>i verksamheten som tillsvidare anställda arbetar.</w:t>
      </w:r>
    </w:p>
    <w:p w:rsidR="006A1FD4" w:rsidRPr="00D9646F" w:rsidP="006A1FD4" w14:paraId="3BBCAC17" w14:textId="77777777">
      <w:pPr>
        <w:pStyle w:val="ListParagraph"/>
      </w:pPr>
    </w:p>
    <w:p w:rsidR="00994A76" w:rsidP="00994A76" w14:paraId="5022B2EA" w14:textId="77777777">
      <w:pPr>
        <w:pStyle w:val="ListParagraph"/>
        <w:numPr>
          <w:ilvl w:val="0"/>
          <w:numId w:val="2"/>
        </w:numPr>
      </w:pPr>
      <w:r w:rsidRPr="00D9646F">
        <w:t xml:space="preserve">För att skapa hållbarhet i bemanningen där behoven i verksamheten ofta är större </w:t>
      </w:r>
      <w:r w:rsidRPr="00D9646F" w:rsidR="00522E57">
        <w:t xml:space="preserve">eller lika stora </w:t>
      </w:r>
      <w:r w:rsidRPr="00D9646F">
        <w:t xml:space="preserve">på helg </w:t>
      </w:r>
      <w:r w:rsidRPr="00D9646F" w:rsidR="00522E57">
        <w:t>som</w:t>
      </w:r>
      <w:r w:rsidRPr="00D9646F">
        <w:t xml:space="preserve"> på vardagar behöver utgångspunkt vara att arbetar man schemalagt arbetar man som regel </w:t>
      </w:r>
      <w:r w:rsidRPr="00D9646F">
        <w:rPr>
          <w:b/>
          <w:bCs/>
        </w:rPr>
        <w:t>två helger av fyra</w:t>
      </w:r>
      <w:r>
        <w:t>.</w:t>
      </w:r>
    </w:p>
    <w:p w:rsidR="00994A76" w:rsidRPr="00D9646F" w:rsidP="00994A76" w14:paraId="5E369C90" w14:textId="77777777">
      <w:pPr>
        <w:ind w:left="0"/>
      </w:pPr>
    </w:p>
    <w:p w:rsidR="00522E57" w:rsidRPr="00522E57" w:rsidP="00672B52" w14:paraId="70212D2E" w14:textId="77777777">
      <w:pPr>
        <w:pStyle w:val="ListParagraph"/>
        <w:numPr>
          <w:ilvl w:val="0"/>
          <w:numId w:val="2"/>
        </w:numPr>
      </w:pPr>
      <w:r w:rsidRPr="00D9646F">
        <w:rPr>
          <w:b/>
          <w:bCs/>
        </w:rPr>
        <w:t>Resurspass</w:t>
      </w:r>
      <w:r w:rsidRPr="00D9646F">
        <w:t xml:space="preserve"> är nödvändiga för att möjliggöra att en större del av den arbetade tiden i verksamheten görs av tillsvidare anställd personal. Detta innebär att medarbetaren vet vilken tid hen ska arbeta, men arbetet kan komma att utföras på annan del i verksamheten än den ordinarie arbetsplatsen. Resurspass ska hållas samman tidsmässigt, tiden är densamma men inte nödvändigtvis arbetsplatsen. Vid byte av tid i arbetspasset mindre än 2 veckor framåt i tid utgår förskjuten arbetstid enligt avtal.</w:t>
      </w:r>
    </w:p>
    <w:p w:rsidR="00306F4D" w:rsidRPr="00D9646F" w:rsidP="00306F4D" w14:paraId="43CF3AFE" w14:textId="77777777">
      <w:pPr>
        <w:pStyle w:val="ListParagraph"/>
      </w:pPr>
    </w:p>
    <w:p w:rsidR="00320F45" w:rsidRPr="00871B81" w:rsidP="00320F45" w14:paraId="0016F0BA" w14:textId="77777777">
      <w:pPr>
        <w:pStyle w:val="ListParagraph"/>
        <w:numPr>
          <w:ilvl w:val="0"/>
          <w:numId w:val="2"/>
        </w:numPr>
      </w:pPr>
      <w:r w:rsidRPr="00320F45">
        <w:rPr>
          <w:strike/>
        </w:rPr>
        <w:t xml:space="preserve">Vi kommer </w:t>
      </w:r>
      <w:r w:rsidRPr="00320F45" w:rsidR="00AB367D">
        <w:rPr>
          <w:strike/>
        </w:rPr>
        <w:t xml:space="preserve">återgå till </w:t>
      </w:r>
      <w:r w:rsidRPr="00320F45" w:rsidR="00AB367D">
        <w:rPr>
          <w:b/>
          <w:bCs/>
          <w:strike/>
        </w:rPr>
        <w:t>två semesterperioder som regel</w:t>
      </w:r>
      <w:r w:rsidRPr="00320F45" w:rsidR="00AB367D">
        <w:rPr>
          <w:strike/>
        </w:rPr>
        <w:t>. Avsteg från detta kan göras genom majoritetsbeslut på APT. Detta ska då dokumenteras och meddelas till personalavdelningen.</w:t>
      </w:r>
      <w:r>
        <w:rPr>
          <w:strike/>
        </w:rPr>
        <w:br/>
      </w:r>
      <w:r w:rsidRPr="00722F6B">
        <w:rPr>
          <w:highlight w:val="yellow"/>
        </w:rPr>
        <w:t xml:space="preserve">Semesterledighet </w:t>
      </w:r>
      <w:r w:rsidRPr="00722F6B" w:rsidR="00076888">
        <w:rPr>
          <w:highlight w:val="yellow"/>
        </w:rPr>
        <w:t xml:space="preserve">under perioden juni till augusti kommer att </w:t>
      </w:r>
      <w:r w:rsidRPr="00722F6B" w:rsidR="00871B81">
        <w:rPr>
          <w:highlight w:val="yellow"/>
        </w:rPr>
        <w:t xml:space="preserve">planeras så att det alltid är minst två </w:t>
      </w:r>
      <w:r w:rsidR="00705D00">
        <w:rPr>
          <w:highlight w:val="yellow"/>
        </w:rPr>
        <w:t xml:space="preserve">av tre </w:t>
      </w:r>
      <w:r w:rsidRPr="00722F6B" w:rsidR="00871B81">
        <w:rPr>
          <w:highlight w:val="yellow"/>
        </w:rPr>
        <w:t xml:space="preserve">ordinarie medarbetare i tjänst. </w:t>
      </w:r>
      <w:r w:rsidRPr="00722F6B" w:rsidR="0051415C">
        <w:rPr>
          <w:highlight w:val="yellow"/>
        </w:rPr>
        <w:t xml:space="preserve">Målsättningen är att samtliga medarbetare skall kunna ta ut sin </w:t>
      </w:r>
      <w:r w:rsidRPr="00722F6B" w:rsidR="00752261">
        <w:rPr>
          <w:highlight w:val="yellow"/>
        </w:rPr>
        <w:t xml:space="preserve">huvudsemester under sommarperioden juni till </w:t>
      </w:r>
      <w:r w:rsidRPr="00722F6B" w:rsidR="00722F6B">
        <w:rPr>
          <w:highlight w:val="yellow"/>
        </w:rPr>
        <w:t>augusti</w:t>
      </w:r>
      <w:r w:rsidRPr="00722F6B" w:rsidR="00752261">
        <w:rPr>
          <w:highlight w:val="yellow"/>
        </w:rPr>
        <w:t xml:space="preserve"> i </w:t>
      </w:r>
      <w:r w:rsidRPr="00722F6B" w:rsidR="00722F6B">
        <w:rPr>
          <w:highlight w:val="yellow"/>
        </w:rPr>
        <w:t>enlighet</w:t>
      </w:r>
      <w:r w:rsidRPr="00722F6B" w:rsidR="00752261">
        <w:rPr>
          <w:highlight w:val="yellow"/>
        </w:rPr>
        <w:t xml:space="preserve"> med </w:t>
      </w:r>
      <w:r w:rsidRPr="00722F6B" w:rsidR="00722F6B">
        <w:rPr>
          <w:highlight w:val="yellow"/>
        </w:rPr>
        <w:t>Allmänna Bestämmelser.</w:t>
      </w:r>
      <w:r w:rsidR="00722F6B">
        <w:t xml:space="preserve"> </w:t>
      </w:r>
    </w:p>
    <w:p w:rsidR="00265332" w:rsidRPr="005A4E1F" w:rsidP="00994A76" w14:paraId="0B1DC9DE" w14:textId="77777777">
      <w:pPr>
        <w:ind w:left="0"/>
        <w:rPr>
          <w:b/>
          <w:bCs/>
        </w:rPr>
      </w:pPr>
    </w:p>
    <w:p w:rsidR="00265332" w:rsidRPr="00EB61F4" w:rsidP="00265332" w14:paraId="10D60944" w14:textId="77777777">
      <w:pPr>
        <w:rPr>
          <w:b/>
          <w:bCs/>
          <w:sz w:val="28"/>
          <w:szCs w:val="22"/>
        </w:rPr>
      </w:pPr>
      <w:r w:rsidRPr="00EB61F4">
        <w:rPr>
          <w:b/>
          <w:bCs/>
          <w:sz w:val="28"/>
          <w:szCs w:val="22"/>
        </w:rPr>
        <w:t xml:space="preserve">Heltid som norm </w:t>
      </w:r>
      <w:r>
        <w:rPr>
          <w:b/>
          <w:bCs/>
          <w:sz w:val="28"/>
          <w:szCs w:val="22"/>
        </w:rPr>
        <w:t>med deltid som möjlighet</w:t>
      </w:r>
      <w:r w:rsidRPr="00EB61F4">
        <w:rPr>
          <w:b/>
          <w:bCs/>
          <w:sz w:val="28"/>
          <w:szCs w:val="22"/>
        </w:rPr>
        <w:t xml:space="preserve"> </w:t>
      </w:r>
    </w:p>
    <w:p w:rsidR="00265332" w:rsidP="00265332" w14:paraId="7E2E3F00" w14:textId="13DA6AC4">
      <w:r>
        <w:t>Heltidsarbete som norm är en av de viktigaste jämställdhetsinsatserna som införs i Bengtsfors kommun. Att fler kvinnor arbetar heltid bidrar till en mer jämställd arbetsmarknad och i förlängningen också ett mer jämställt samhälle. Att arbeta heltid är viktigt för den enskilde individen. Genom att gå från deltid till heltid ökar inkomsten varje månad och det leder också till en högre pension. När fler ska arbeta heltid är det viktigt att ha arbetsmiljöfrågorna i fokus. Att ge fler möjligheten att arbeta heltid är en viktig faktor för att ses som en attraktiv arbetsplats. Det ska också finnas möjlighet att ansöka om att gå ned i tid. Vi vill arbeta aktivt för att heltid ska vara norm och att fler ska arbeta heltid men deltid ska kvarstå som en möjlighet</w:t>
      </w:r>
      <w:r w:rsidR="00346659">
        <w:t>,</w:t>
      </w:r>
      <w:r>
        <w:t xml:space="preserve"> vilket även skall framgå när n</w:t>
      </w:r>
      <w:r w:rsidR="00346659">
        <w:t>y</w:t>
      </w:r>
      <w:r>
        <w:t xml:space="preserve"> personal söks. </w:t>
      </w:r>
    </w:p>
    <w:p w:rsidR="00265332" w:rsidP="00265332" w14:paraId="4F33CDB7" w14:textId="77777777">
      <w:pPr>
        <w:rPr>
          <w:u w:val="single"/>
        </w:rPr>
      </w:pPr>
      <w:r>
        <w:rPr>
          <w:u w:val="single"/>
        </w:rPr>
        <w:t xml:space="preserve">Centrala parter och </w:t>
      </w:r>
      <w:r w:rsidRPr="00265332">
        <w:rPr>
          <w:u w:val="single"/>
        </w:rPr>
        <w:t xml:space="preserve">avtal </w:t>
      </w:r>
    </w:p>
    <w:p w:rsidR="00265332" w:rsidP="00265332" w14:paraId="1167D0B5" w14:textId="77777777">
      <w:r>
        <w:t xml:space="preserve">SKR och Kommunal vill att heltidsarbete ska bli det normala i kommuner, landsting och regioner. Parterna är överens om tre målsättningar: </w:t>
      </w:r>
    </w:p>
    <w:p w:rsidR="00265332" w:rsidRPr="00265332" w:rsidP="00265332" w14:paraId="56BE6075" w14:textId="77777777">
      <w:pPr>
        <w:numPr>
          <w:ilvl w:val="0"/>
          <w:numId w:val="1"/>
        </w:numPr>
        <w:rPr>
          <w:u w:val="single"/>
        </w:rPr>
      </w:pPr>
      <w:r>
        <w:t xml:space="preserve">Att alla medarbetare som nyanställs ska anställas på heltid. </w:t>
      </w:r>
    </w:p>
    <w:p w:rsidR="00265332" w:rsidRPr="00265332" w:rsidP="00265332" w14:paraId="608744E4" w14:textId="77777777">
      <w:pPr>
        <w:numPr>
          <w:ilvl w:val="0"/>
          <w:numId w:val="1"/>
        </w:numPr>
        <w:rPr>
          <w:u w:val="single"/>
        </w:rPr>
      </w:pPr>
      <w:r>
        <w:t xml:space="preserve">Att alla deltidsanställda ska erbjudas heltidsarbete. </w:t>
      </w:r>
    </w:p>
    <w:p w:rsidR="00265332" w:rsidRPr="00A92017" w:rsidP="00265332" w14:paraId="406AB73E" w14:textId="77777777">
      <w:pPr>
        <w:numPr>
          <w:ilvl w:val="0"/>
          <w:numId w:val="1"/>
        </w:numPr>
        <w:rPr>
          <w:u w:val="single"/>
        </w:rPr>
      </w:pPr>
      <w:r>
        <w:t xml:space="preserve">Att fler av de som redan har en heltidsanställning, men av olika anledningar jobbar deltid i dagsläget, ska eftersträva heltidsarbete </w:t>
      </w:r>
    </w:p>
    <w:p w:rsidR="00A92017" w:rsidP="00A92017" w14:paraId="5904AC40" w14:textId="77777777">
      <w:r>
        <w:t>SKR och Kommunal är överens om att fokusera på övergången från deltidsarbete till heltidsarbete. I det avtal som parterna undertecknade i april 2016 framgår att parterna tillsammans ska underlätta övergången till heltidsorganisering av arbetet för såväl arbetsgivare som arbetstagare, samt genomföra åtgärder som stödjer det lokala arbetet med att öka andelen heltidsarbetande.</w:t>
      </w:r>
    </w:p>
    <w:p w:rsidR="00DF4EBA" w:rsidP="00A92017" w14:paraId="2350EE37" w14:textId="77777777">
      <w:r>
        <w:t xml:space="preserve">I det senaste centrala avtalet HÖK 20 finns följande skrivningar: </w:t>
      </w:r>
    </w:p>
    <w:p w:rsidR="00DF4EBA" w:rsidRPr="00DC1DC9" w:rsidP="00DF4EBA" w14:paraId="72CF7B16" w14:textId="77777777">
      <w:pPr>
        <w:pStyle w:val="Heading4"/>
        <w:shd w:val="clear" w:color="auto" w:fill="FFFEFE"/>
        <w:rPr>
          <w:b w:val="0"/>
        </w:rPr>
      </w:pPr>
      <w:r>
        <w:rPr>
          <w:b w:val="0"/>
        </w:rPr>
        <w:t xml:space="preserve">” </w:t>
      </w:r>
      <w:r w:rsidRPr="00DC1DC9">
        <w:rPr>
          <w:b w:val="0"/>
        </w:rPr>
        <w:t>Centrala parter ska från 2021 årligen göra en uppföljning av utvecklingen på nationell nivå avseende ökningen av heltidsanställningar, heltidsarbetande samt förekomsten av tidsbegränsade anställningar. Parterna ska utifrån resultatet varje år ta ställning till om vidare åtgärder behöver vidtas för att stödja lokala parters arbete.</w:t>
      </w:r>
      <w:r>
        <w:rPr>
          <w:b w:val="0"/>
        </w:rPr>
        <w:t xml:space="preserve">” </w:t>
      </w:r>
      <w:r w:rsidRPr="00DC1DC9">
        <w:rPr>
          <w:b w:val="0"/>
        </w:rPr>
        <w:t xml:space="preserve"> </w:t>
      </w:r>
    </w:p>
    <w:p w:rsidR="00A92017" w:rsidP="00DC1DC9" w14:paraId="1CB1E34B" w14:textId="77777777">
      <w:pPr>
        <w:pStyle w:val="Heading4"/>
        <w:shd w:val="clear" w:color="auto" w:fill="FFFEFE"/>
        <w:rPr>
          <w:b w:val="0"/>
        </w:rPr>
      </w:pPr>
      <w:r w:rsidRPr="00DC1DC9">
        <w:rPr>
          <w:b w:val="0"/>
        </w:rPr>
        <w:t>Arbetet ska vara slutfört 2024-12-</w:t>
      </w:r>
      <w:r w:rsidR="00DC1DC9">
        <w:rPr>
          <w:b w:val="0"/>
        </w:rPr>
        <w:t>31</w:t>
      </w:r>
    </w:p>
    <w:p w:rsidR="00DC1DC9" w:rsidRPr="005A4E1F" w:rsidP="00DC1DC9" w14:paraId="6F698817" w14:textId="77777777">
      <w:pPr>
        <w:rPr>
          <w:b/>
          <w:bCs/>
        </w:rPr>
      </w:pPr>
    </w:p>
    <w:p w:rsidR="00664C06" w:rsidRPr="00EB61F4" w:rsidP="00DC1DC9" w14:paraId="3E96BE03" w14:textId="77777777">
      <w:pPr>
        <w:rPr>
          <w:b/>
          <w:bCs/>
          <w:sz w:val="28"/>
          <w:szCs w:val="22"/>
        </w:rPr>
      </w:pPr>
      <w:r w:rsidRPr="00EB61F4">
        <w:rPr>
          <w:b/>
          <w:bCs/>
          <w:sz w:val="28"/>
          <w:szCs w:val="22"/>
        </w:rPr>
        <w:t xml:space="preserve">Bemanningshandboken </w:t>
      </w:r>
    </w:p>
    <w:p w:rsidR="007E4AE6" w:rsidP="00DC1DC9" w14:paraId="3804430B" w14:textId="77777777">
      <w:r>
        <w:t xml:space="preserve">Bemanningshandboken utgör ett samlat regelsystem för bemanningsekonomi Heltidsarbete </w:t>
      </w:r>
      <w:r w:rsidR="005A4E1F">
        <w:t xml:space="preserve">ska vara den </w:t>
      </w:r>
      <w:r>
        <w:t>norm</w:t>
      </w:r>
      <w:r w:rsidR="005A4E1F">
        <w:t xml:space="preserve"> vi arbetar för att uppnå</w:t>
      </w:r>
      <w:r>
        <w:t xml:space="preserve">. Schemaläggningen ska vara så utformad att den ger en budget i balans, en bra arbetsmiljö samt att </w:t>
      </w:r>
      <w:r w:rsidR="00F104E2">
        <w:t>verksamhet</w:t>
      </w:r>
      <w:r w:rsidR="00D9646F">
        <w:t>ens</w:t>
      </w:r>
      <w:r w:rsidR="00F104E2">
        <w:t xml:space="preserve"> behov och </w:t>
      </w:r>
      <w:r>
        <w:t>medborgarens bästa stå</w:t>
      </w:r>
      <w:r w:rsidR="00D9646F">
        <w:t>r</w:t>
      </w:r>
      <w:r>
        <w:t xml:space="preserve"> i fokus.</w:t>
      </w:r>
    </w:p>
    <w:p w:rsidR="007E4AE6" w:rsidP="00DC1DC9" w14:paraId="168CE18D" w14:textId="77777777">
      <w:r>
        <w:t>I bemanningshandboken finns exempelvis följande avsnitt beskrivna:</w:t>
      </w:r>
    </w:p>
    <w:p w:rsidR="00EC6B75" w:rsidP="00EC6B75" w14:paraId="35B5AEEC" w14:textId="77777777">
      <w:pPr>
        <w:pStyle w:val="ListParagraph"/>
        <w:numPr>
          <w:ilvl w:val="0"/>
          <w:numId w:val="1"/>
        </w:numPr>
      </w:pPr>
      <w:r>
        <w:t>Bemanningsprocessen</w:t>
      </w:r>
    </w:p>
    <w:p w:rsidR="00EE75ED" w:rsidP="00EC6B75" w14:paraId="16045F44" w14:textId="77777777">
      <w:pPr>
        <w:pStyle w:val="ListParagraph"/>
        <w:numPr>
          <w:ilvl w:val="0"/>
          <w:numId w:val="1"/>
        </w:numPr>
      </w:pPr>
      <w:r>
        <w:t xml:space="preserve">Roller och ansvar </w:t>
      </w:r>
    </w:p>
    <w:p w:rsidR="00EC6B75" w:rsidP="00EC6B75" w14:paraId="40C76AC7" w14:textId="77777777">
      <w:pPr>
        <w:pStyle w:val="ListParagraph"/>
        <w:numPr>
          <w:ilvl w:val="0"/>
          <w:numId w:val="1"/>
        </w:numPr>
      </w:pPr>
      <w:r>
        <w:t>Schemaläggning och planering</w:t>
      </w:r>
    </w:p>
    <w:p w:rsidR="00EC6B75" w:rsidP="00EC6B75" w14:paraId="3D581B2D" w14:textId="77777777">
      <w:pPr>
        <w:pStyle w:val="ListParagraph"/>
        <w:numPr>
          <w:ilvl w:val="0"/>
          <w:numId w:val="1"/>
        </w:numPr>
      </w:pPr>
      <w:r>
        <w:t>Nulägesanalys</w:t>
      </w:r>
    </w:p>
    <w:p w:rsidR="00EC6B75" w:rsidP="00EC6B75" w14:paraId="781760BD" w14:textId="77777777">
      <w:pPr>
        <w:pStyle w:val="ListParagraph"/>
        <w:numPr>
          <w:ilvl w:val="0"/>
          <w:numId w:val="1"/>
        </w:numPr>
      </w:pPr>
      <w:r>
        <w:t>Arbete helgdagar</w:t>
      </w:r>
    </w:p>
    <w:p w:rsidR="00EC6B75" w:rsidP="00EC6B75" w14:paraId="33E7393C" w14:textId="77777777">
      <w:pPr>
        <w:pStyle w:val="ListParagraph"/>
        <w:numPr>
          <w:ilvl w:val="0"/>
          <w:numId w:val="1"/>
        </w:numPr>
      </w:pPr>
      <w:r>
        <w:t>Ledigheter, fridagar</w:t>
      </w:r>
    </w:p>
    <w:p w:rsidR="00EC6B75" w:rsidP="00EC6B75" w14:paraId="488B6EF7" w14:textId="77777777">
      <w:pPr>
        <w:pStyle w:val="ListParagraph"/>
        <w:numPr>
          <w:ilvl w:val="0"/>
          <w:numId w:val="1"/>
        </w:numPr>
      </w:pPr>
      <w:r>
        <w:t>Grundbemanning</w:t>
      </w:r>
    </w:p>
    <w:p w:rsidR="00EC6B75" w:rsidP="00EC6B75" w14:paraId="282CCE1A" w14:textId="77777777">
      <w:pPr>
        <w:pStyle w:val="ListParagraph"/>
        <w:numPr>
          <w:ilvl w:val="0"/>
          <w:numId w:val="1"/>
        </w:numPr>
      </w:pPr>
      <w:r>
        <w:t>Samplanering</w:t>
      </w:r>
    </w:p>
    <w:p w:rsidR="00EC6B75" w:rsidP="00EC6B75" w14:paraId="59EB8327" w14:textId="77777777">
      <w:pPr>
        <w:pStyle w:val="ListParagraph"/>
        <w:numPr>
          <w:ilvl w:val="0"/>
          <w:numId w:val="1"/>
        </w:numPr>
      </w:pPr>
      <w:r>
        <w:t xml:space="preserve">Introduktion av nya medarbetare </w:t>
      </w:r>
    </w:p>
    <w:p w:rsidR="00EE75ED" w:rsidP="00EE75ED" w14:paraId="3B13427D" w14:textId="77777777">
      <w:r>
        <w:t xml:space="preserve">Bemanningshandboken kommer </w:t>
      </w:r>
      <w:r w:rsidR="00082B95">
        <w:t xml:space="preserve">förankras med </w:t>
      </w:r>
      <w:r>
        <w:t xml:space="preserve">Kommunal. </w:t>
      </w:r>
    </w:p>
    <w:p w:rsidR="007C1F87" w:rsidP="00EE75ED" w14:paraId="6CEA8EA6" w14:textId="77777777"/>
    <w:p w:rsidR="00082B95" w:rsidP="00EE75ED" w14:paraId="7D6F5CF4" w14:textId="77777777"/>
    <w:p w:rsidR="00265332" w:rsidRPr="00DF4EBA" w:rsidP="00994A76" w14:paraId="344DF726" w14:textId="77777777">
      <w:pPr>
        <w:ind w:left="0"/>
        <w:rPr>
          <w:u w:val="single"/>
        </w:rPr>
      </w:pPr>
    </w:p>
    <w:sectPr>
      <w:headerReference w:type="default" r:id="rId6"/>
      <w:footerReference w:type="default" r:id="rId7"/>
      <w:headerReference w:type="first" r:id="rId8"/>
      <w:footerReference w:type="first" r:id="rId9"/>
      <w:pgSz w:w="11906" w:h="16838" w:code="9"/>
      <w:pgMar w:top="454" w:right="397" w:bottom="397" w:left="1134" w:header="454" w:footer="39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981" w:rsidP="00BA066B" w14:paraId="56E3083C" w14:textId="77777777">
    <w:pPr>
      <w:pStyle w:val="Footer"/>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981" w:rsidP="00202024" w14:paraId="7FB90967" w14:textId="77777777">
    <w:pPr>
      <w:pStyle w:val="Footer"/>
      <w:spacing w:before="240"/>
    </w:pPr>
    <w:r>
      <w:fldChar w:fldCharType="begin"/>
    </w:r>
    <w:r>
      <w:instrText xml:space="preserve"> FILENAME \p \* Lower \* MERGEFORMAT </w:instrText>
    </w:r>
    <w:r>
      <w:fldChar w:fldCharType="separate"/>
    </w:r>
    <w:r>
      <w:rPr>
        <w:noProof/>
      </w:rPr>
      <w:t>dokument1</w:t>
    </w:r>
    <w:r>
      <w:rPr>
        <w:noProof/>
      </w:rPr>
      <w:fldChar w:fldCharType="end"/>
    </w:r>
  </w:p>
  <w:tbl>
    <w:tblPr>
      <w:tblW w:w="10433" w:type="dxa"/>
      <w:tblInd w:w="-8" w:type="dxa"/>
      <w:tblLayout w:type="fixed"/>
      <w:tblCellMar>
        <w:left w:w="28" w:type="dxa"/>
        <w:right w:w="0" w:type="dxa"/>
      </w:tblCellMar>
      <w:tblLook w:val="0000"/>
    </w:tblPr>
    <w:tblGrid>
      <w:gridCol w:w="2280"/>
      <w:gridCol w:w="3489"/>
      <w:gridCol w:w="1220"/>
      <w:gridCol w:w="1220"/>
      <w:gridCol w:w="2224"/>
    </w:tblGrid>
    <w:tr w14:paraId="54835526" w14:textId="77777777" w:rsidTr="008E2677">
      <w:tblPrEx>
        <w:tblW w:w="10433" w:type="dxa"/>
        <w:tblInd w:w="-8" w:type="dxa"/>
        <w:tblLayout w:type="fixed"/>
        <w:tblCellMar>
          <w:left w:w="28" w:type="dxa"/>
          <w:right w:w="0" w:type="dxa"/>
        </w:tblCellMar>
        <w:tblLook w:val="0000"/>
      </w:tblPrEx>
      <w:trPr>
        <w:trHeight w:val="403"/>
      </w:trPr>
      <w:tc>
        <w:tcPr>
          <w:tcW w:w="2441" w:type="dxa"/>
          <w:tcBorders>
            <w:top w:val="single" w:sz="4" w:space="0" w:color="auto"/>
          </w:tcBorders>
        </w:tcPr>
        <w:p w:rsidR="00FA1981" w:rsidP="008E2677" w14:paraId="78AABEE2" w14:textId="77777777">
          <w:pPr>
            <w:pStyle w:val="Sidfotledtext"/>
          </w:pPr>
        </w:p>
        <w:p w:rsidR="00FA1981" w:rsidRPr="008E2677" w:rsidP="008E2677" w14:paraId="4969D7B7" w14:textId="77777777">
          <w:pPr>
            <w:pStyle w:val="Footer"/>
          </w:pPr>
          <w:r>
            <w:t>Bengtsfors kommun</w:t>
          </w:r>
        </w:p>
      </w:tc>
      <w:tc>
        <w:tcPr>
          <w:tcW w:w="3736" w:type="dxa"/>
          <w:tcBorders>
            <w:top w:val="single" w:sz="4" w:space="0" w:color="auto"/>
          </w:tcBorders>
        </w:tcPr>
        <w:p w:rsidR="00FA1981" w:rsidP="008E2677" w14:paraId="7C856BCE" w14:textId="77777777">
          <w:pPr>
            <w:pStyle w:val="Sidfotledtext"/>
            <w:rPr>
              <w:lang w:val="de-DE"/>
            </w:rPr>
          </w:pPr>
          <w:r>
            <w:rPr>
              <w:lang w:val="de-DE"/>
            </w:rPr>
            <w:t>E-post</w:t>
          </w:r>
        </w:p>
        <w:p w:rsidR="00FA1981" w:rsidRPr="00EC4C9E" w:rsidP="00EC4C9E" w14:paraId="2585C65B" w14:textId="77777777">
          <w:pPr>
            <w:pStyle w:val="Footer"/>
          </w:pPr>
          <w:r>
            <w:t>kommun@bengtsfors.se</w:t>
          </w:r>
        </w:p>
      </w:tc>
      <w:tc>
        <w:tcPr>
          <w:tcW w:w="1304" w:type="dxa"/>
          <w:tcBorders>
            <w:top w:val="single" w:sz="4" w:space="0" w:color="auto"/>
          </w:tcBorders>
        </w:tcPr>
        <w:p w:rsidR="00FA1981" w:rsidP="008E2677" w14:paraId="1817691A" w14:textId="77777777">
          <w:pPr>
            <w:pStyle w:val="Sidfotledtext"/>
            <w:rPr>
              <w:lang w:val="de-DE"/>
            </w:rPr>
          </w:pPr>
          <w:r>
            <w:rPr>
              <w:lang w:val="de-DE"/>
            </w:rPr>
            <w:t>Telefon</w:t>
          </w:r>
        </w:p>
        <w:p w:rsidR="00FA1981" w:rsidRPr="00EC4C9E" w:rsidP="00EC4C9E" w14:paraId="5527CE54" w14:textId="77777777">
          <w:pPr>
            <w:pStyle w:val="Footer"/>
          </w:pPr>
          <w:r>
            <w:t>0531-52 60 00</w:t>
          </w:r>
        </w:p>
      </w:tc>
      <w:tc>
        <w:tcPr>
          <w:tcW w:w="1304" w:type="dxa"/>
          <w:tcBorders>
            <w:top w:val="single" w:sz="4" w:space="0" w:color="auto"/>
          </w:tcBorders>
        </w:tcPr>
        <w:p w:rsidR="00FA1981" w:rsidP="008E2677" w14:paraId="73235C15" w14:textId="77777777">
          <w:pPr>
            <w:pStyle w:val="Sidfotledtext"/>
            <w:rPr>
              <w:lang w:val="de-DE"/>
            </w:rPr>
          </w:pPr>
          <w:r>
            <w:rPr>
              <w:lang w:val="de-DE"/>
            </w:rPr>
            <w:t>Fax</w:t>
          </w:r>
        </w:p>
        <w:p w:rsidR="00FA1981" w:rsidRPr="00EC4C9E" w:rsidP="00EC4C9E" w14:paraId="2E907D3A" w14:textId="77777777">
          <w:pPr>
            <w:pStyle w:val="Footer"/>
          </w:pPr>
          <w:r>
            <w:t>0531-52 60 41</w:t>
          </w:r>
        </w:p>
      </w:tc>
      <w:tc>
        <w:tcPr>
          <w:tcW w:w="2381" w:type="dxa"/>
          <w:tcBorders>
            <w:top w:val="single" w:sz="4" w:space="0" w:color="auto"/>
            <w:left w:val="nil"/>
          </w:tcBorders>
        </w:tcPr>
        <w:p w:rsidR="00FA1981" w:rsidP="008E2677" w14:paraId="7820ED9D" w14:textId="77777777">
          <w:pPr>
            <w:pStyle w:val="Sidfotledtext"/>
            <w:rPr>
              <w:lang w:val="de-DE"/>
            </w:rPr>
          </w:pPr>
          <w:r>
            <w:rPr>
              <w:lang w:val="de-DE"/>
            </w:rPr>
            <w:t>Hemsida</w:t>
          </w:r>
        </w:p>
        <w:p w:rsidR="00FA1981" w:rsidRPr="00EC4C9E" w:rsidP="00EC4C9E" w14:paraId="22488E2F" w14:textId="77777777">
          <w:pPr>
            <w:pStyle w:val="Footer"/>
          </w:pPr>
          <w:r>
            <w:t>www.bengtsfors.se</w:t>
          </w:r>
        </w:p>
      </w:tc>
    </w:tr>
    <w:tr w14:paraId="40B2D489" w14:textId="77777777" w:rsidTr="008E2677">
      <w:tblPrEx>
        <w:tblW w:w="10433" w:type="dxa"/>
        <w:tblInd w:w="-8" w:type="dxa"/>
        <w:tblLayout w:type="fixed"/>
        <w:tblCellMar>
          <w:left w:w="28" w:type="dxa"/>
          <w:right w:w="0" w:type="dxa"/>
        </w:tblCellMar>
        <w:tblLook w:val="0000"/>
      </w:tblPrEx>
      <w:trPr>
        <w:trHeight w:val="785"/>
      </w:trPr>
      <w:tc>
        <w:tcPr>
          <w:tcW w:w="2441" w:type="dxa"/>
        </w:tcPr>
        <w:p w:rsidR="00FA1981" w:rsidP="008E2677" w14:paraId="4D6675DC" w14:textId="77777777">
          <w:pPr>
            <w:pStyle w:val="Sidfotledtext"/>
          </w:pPr>
          <w:r>
            <w:t>Postadress</w:t>
          </w:r>
        </w:p>
        <w:p w:rsidR="00FA1981" w:rsidRPr="008E2677" w:rsidP="008E2677" w14:paraId="6EC457B4" w14:textId="77777777">
          <w:pPr>
            <w:pStyle w:val="Footer"/>
          </w:pPr>
          <w:r>
            <w:t>Box 14</w:t>
          </w:r>
        </w:p>
        <w:p w:rsidR="00FA1981" w:rsidRPr="008E2677" w:rsidP="008E2677" w14:paraId="7D658BF9" w14:textId="77777777">
          <w:pPr>
            <w:pStyle w:val="Footer"/>
          </w:pPr>
          <w:r>
            <w:t>666 21 Bengtsfors</w:t>
          </w:r>
        </w:p>
        <w:p w:rsidR="00FA1981" w:rsidRPr="008E2677" w:rsidP="008E2677" w14:paraId="3BB7CBC3" w14:textId="77777777">
          <w:pPr>
            <w:pStyle w:val="Footer"/>
          </w:pPr>
        </w:p>
      </w:tc>
      <w:tc>
        <w:tcPr>
          <w:tcW w:w="3736" w:type="dxa"/>
        </w:tcPr>
        <w:p w:rsidR="00FA1981" w:rsidP="008E2677" w14:paraId="1510DEDF" w14:textId="77777777">
          <w:pPr>
            <w:pStyle w:val="Sidfotledtext"/>
          </w:pPr>
          <w:r>
            <w:t>Besöksadress</w:t>
          </w:r>
        </w:p>
        <w:p w:rsidR="00FA1981" w:rsidRPr="008E2677" w:rsidP="008E2677" w14:paraId="4342BB1F" w14:textId="77777777">
          <w:pPr>
            <w:pStyle w:val="Footer"/>
          </w:pPr>
          <w:r>
            <w:t>Majbergsvägen 1B</w:t>
          </w:r>
        </w:p>
        <w:p w:rsidR="00FA1981" w:rsidRPr="008E2677" w:rsidP="008E2677" w14:paraId="7211713F" w14:textId="77777777">
          <w:pPr>
            <w:pStyle w:val="Footer"/>
          </w:pPr>
          <w:r>
            <w:t>Bengtsfors</w:t>
          </w:r>
        </w:p>
        <w:p w:rsidR="00FA1981" w:rsidRPr="008E2677" w:rsidP="008E2677" w14:paraId="223267B0" w14:textId="77777777">
          <w:pPr>
            <w:pStyle w:val="Footer"/>
          </w:pPr>
        </w:p>
      </w:tc>
      <w:tc>
        <w:tcPr>
          <w:tcW w:w="1304" w:type="dxa"/>
        </w:tcPr>
        <w:p w:rsidR="00FA1981" w:rsidP="008E2677" w14:paraId="02C090B3" w14:textId="77777777">
          <w:pPr>
            <w:pStyle w:val="Sidfotledtext"/>
          </w:pPr>
          <w:r>
            <w:t>Organisationsnr</w:t>
          </w:r>
        </w:p>
        <w:p w:rsidR="00FA1981" w:rsidRPr="00365689" w:rsidP="008E2677" w14:paraId="307BDAA0" w14:textId="77777777">
          <w:pPr>
            <w:pStyle w:val="Footer"/>
          </w:pPr>
          <w:r>
            <w:t>212000-1470</w:t>
          </w:r>
        </w:p>
      </w:tc>
      <w:tc>
        <w:tcPr>
          <w:tcW w:w="1304" w:type="dxa"/>
        </w:tcPr>
        <w:p w:rsidR="00FA1981" w:rsidP="008E2677" w14:paraId="1A7EFD6D" w14:textId="77777777">
          <w:pPr>
            <w:pStyle w:val="Sidfotledtext"/>
          </w:pPr>
        </w:p>
        <w:p w:rsidR="00FA1981" w:rsidRPr="008E2677" w:rsidP="008E2677" w14:paraId="14CD0C27" w14:textId="77777777">
          <w:pPr>
            <w:pStyle w:val="Footer"/>
          </w:pPr>
        </w:p>
      </w:tc>
      <w:tc>
        <w:tcPr>
          <w:tcW w:w="2381" w:type="dxa"/>
        </w:tcPr>
        <w:p w:rsidR="00FA1981" w:rsidP="008E2677" w14:paraId="1957E792" w14:textId="77777777">
          <w:pPr>
            <w:pStyle w:val="Sidfotledtext"/>
          </w:pPr>
        </w:p>
        <w:p w:rsidR="00FA1981" w:rsidRPr="008E2677" w:rsidP="008E2677" w14:paraId="5C5B96BE" w14:textId="77777777">
          <w:pPr>
            <w:pStyle w:val="Footer"/>
          </w:pPr>
        </w:p>
      </w:tc>
    </w:tr>
  </w:tbl>
  <w:p w:rsidR="00FA1981" w14:paraId="2790599F" w14:textId="77777777">
    <w:pPr>
      <w:pStyle w:val="Footer"/>
      <w:rPr>
        <w:sz w:val="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32" w:type="dxa"/>
      <w:tblLayout w:type="fixed"/>
      <w:tblCellMar>
        <w:top w:w="28" w:type="dxa"/>
        <w:left w:w="28" w:type="dxa"/>
        <w:right w:w="28" w:type="dxa"/>
      </w:tblCellMar>
      <w:tblLook w:val="0000"/>
    </w:tblPr>
    <w:tblGrid>
      <w:gridCol w:w="5216"/>
      <w:gridCol w:w="1951"/>
      <w:gridCol w:w="1961"/>
      <w:gridCol w:w="1304"/>
    </w:tblGrid>
    <w:tr w14:paraId="621E24B9" w14:textId="77777777" w:rsidTr="002F271B">
      <w:tblPrEx>
        <w:tblW w:w="10432" w:type="dxa"/>
        <w:tblLayout w:type="fixed"/>
        <w:tblCellMar>
          <w:top w:w="28" w:type="dxa"/>
          <w:left w:w="28" w:type="dxa"/>
          <w:right w:w="28" w:type="dxa"/>
        </w:tblCellMar>
        <w:tblLook w:val="0000"/>
      </w:tblPrEx>
      <w:trPr>
        <w:cantSplit/>
        <w:trHeight w:val="435"/>
      </w:trPr>
      <w:tc>
        <w:tcPr>
          <w:tcW w:w="5216" w:type="dxa"/>
          <w:vMerge w:val="restart"/>
          <w:vAlign w:val="bottom"/>
        </w:tcPr>
        <w:p w:rsidR="00FA1981" w:rsidRPr="00265332" w:rsidP="00842F76" w14:paraId="36153CF4" w14:textId="77777777">
          <w:pPr>
            <w:pStyle w:val="Logotyp"/>
          </w:pPr>
          <w:r w:rsidRPr="00265332">
            <w:t>Bengtsfors kommun</w:t>
          </w:r>
        </w:p>
        <w:p w:rsidR="00FA1981" w:rsidRPr="00265332" w:rsidP="002F271B" w14:paraId="67D0258B" w14:textId="77777777">
          <w:pPr>
            <w:pStyle w:val="Header"/>
          </w:pPr>
          <w:r>
            <w:t>Kommunledningskontoret, personalenheten</w:t>
          </w:r>
        </w:p>
      </w:tc>
      <w:tc>
        <w:tcPr>
          <w:tcW w:w="3912" w:type="dxa"/>
          <w:gridSpan w:val="2"/>
          <w:vAlign w:val="bottom"/>
        </w:tcPr>
        <w:p w:rsidR="00FA1981" w:rsidRPr="00265332" w:rsidP="002F271B" w14:paraId="373D3B95" w14:textId="77777777">
          <w:pPr>
            <w:pStyle w:val="Header"/>
          </w:pPr>
        </w:p>
      </w:tc>
      <w:tc>
        <w:tcPr>
          <w:tcW w:w="1304" w:type="dxa"/>
          <w:vAlign w:val="bottom"/>
        </w:tcPr>
        <w:p w:rsidR="00FA1981" w:rsidRPr="00265332" w:rsidP="002F271B" w14:paraId="4323A729" w14:textId="77777777">
          <w:pPr>
            <w:pStyle w:val="Sidhuvudledtext"/>
            <w:rPr>
              <w:rStyle w:val="PageNumber"/>
            </w:rPr>
          </w:pPr>
          <w:r>
            <w:rPr>
              <w:rStyle w:val="PageNumber"/>
            </w:rPr>
            <w:t>Sida</w:t>
          </w:r>
        </w:p>
        <w:p w:rsidR="00FA1981" w:rsidRPr="00265332" w:rsidP="002F271B" w14:paraId="49D0962D" w14:textId="77777777">
          <w:pPr>
            <w:pStyle w:val="Header"/>
          </w:pPr>
          <w:r w:rsidRPr="00265332">
            <w:rPr>
              <w:rStyle w:val="PageNumber"/>
            </w:rPr>
            <w:fldChar w:fldCharType="begin"/>
          </w:r>
          <w:r w:rsidRPr="00265332">
            <w:rPr>
              <w:rStyle w:val="PageNumber"/>
            </w:rPr>
            <w:instrText xml:space="preserve"> PAGE </w:instrText>
          </w:r>
          <w:r w:rsidRPr="00265332">
            <w:rPr>
              <w:rStyle w:val="PageNumber"/>
            </w:rPr>
            <w:fldChar w:fldCharType="separate"/>
          </w:r>
          <w:r w:rsidR="000D6185">
            <w:rPr>
              <w:rStyle w:val="PageNumber"/>
              <w:noProof/>
            </w:rPr>
            <w:t>2</w:t>
          </w:r>
          <w:r w:rsidRPr="00265332">
            <w:rPr>
              <w:rStyle w:val="PageNumber"/>
            </w:rPr>
            <w:fldChar w:fldCharType="end"/>
          </w:r>
          <w:r w:rsidRPr="00265332">
            <w:rPr>
              <w:rStyle w:val="PageNumber"/>
            </w:rPr>
            <w:t>(</w:t>
          </w:r>
          <w:r w:rsidRPr="00265332">
            <w:rPr>
              <w:rStyle w:val="PageNumber"/>
            </w:rPr>
            <w:fldChar w:fldCharType="begin"/>
          </w:r>
          <w:r w:rsidRPr="00265332">
            <w:rPr>
              <w:rStyle w:val="PageNumber"/>
            </w:rPr>
            <w:instrText xml:space="preserve"> NUMPAGES </w:instrText>
          </w:r>
          <w:r w:rsidRPr="00265332">
            <w:rPr>
              <w:rStyle w:val="PageNumber"/>
            </w:rPr>
            <w:fldChar w:fldCharType="separate"/>
          </w:r>
          <w:r w:rsidR="000D6185">
            <w:rPr>
              <w:rStyle w:val="PageNumber"/>
              <w:noProof/>
            </w:rPr>
            <w:t>5</w:t>
          </w:r>
          <w:r w:rsidRPr="00265332">
            <w:rPr>
              <w:rStyle w:val="PageNumber"/>
            </w:rPr>
            <w:fldChar w:fldCharType="end"/>
          </w:r>
          <w:r w:rsidRPr="00265332">
            <w:rPr>
              <w:rStyle w:val="PageNumber"/>
            </w:rPr>
            <w:t>)</w:t>
          </w:r>
        </w:p>
      </w:tc>
    </w:tr>
    <w:tr w14:paraId="3F73D0E6" w14:textId="77777777" w:rsidTr="002351D6">
      <w:tblPrEx>
        <w:tblW w:w="10432" w:type="dxa"/>
        <w:tblLayout w:type="fixed"/>
        <w:tblCellMar>
          <w:top w:w="28" w:type="dxa"/>
          <w:left w:w="28" w:type="dxa"/>
          <w:right w:w="28" w:type="dxa"/>
        </w:tblCellMar>
        <w:tblLook w:val="0000"/>
      </w:tblPrEx>
      <w:trPr>
        <w:cantSplit/>
        <w:trHeight w:val="480"/>
      </w:trPr>
      <w:tc>
        <w:tcPr>
          <w:tcW w:w="5216" w:type="dxa"/>
          <w:vMerge/>
        </w:tcPr>
        <w:p w:rsidR="00FA1981" w:rsidRPr="00265332" w:rsidP="002F271B" w14:paraId="3973A805" w14:textId="77777777">
          <w:pPr>
            <w:pStyle w:val="Tabell"/>
          </w:pPr>
        </w:p>
      </w:tc>
      <w:tc>
        <w:tcPr>
          <w:tcW w:w="1951" w:type="dxa"/>
          <w:vAlign w:val="bottom"/>
        </w:tcPr>
        <w:p w:rsidR="00FA1981" w:rsidRPr="00265332" w:rsidP="002351D6" w14:paraId="2501A75A" w14:textId="77777777">
          <w:pPr>
            <w:pStyle w:val="Sidhuvudledtext"/>
          </w:pPr>
          <w:r>
            <w:t>Datum</w:t>
          </w:r>
        </w:p>
        <w:p w:rsidR="00FA1981" w:rsidRPr="00265332" w:rsidP="002351D6" w14:paraId="4B7DF1E0" w14:textId="77777777">
          <w:pPr>
            <w:pStyle w:val="Header"/>
          </w:pPr>
          <w:r>
            <w:t>2025-01-09</w:t>
          </w:r>
        </w:p>
      </w:tc>
      <w:tc>
        <w:tcPr>
          <w:tcW w:w="3265" w:type="dxa"/>
          <w:gridSpan w:val="2"/>
          <w:vAlign w:val="bottom"/>
        </w:tcPr>
        <w:p w:rsidR="00FA1981" w:rsidRPr="00265332" w:rsidP="002351D6" w14:paraId="39B4F179" w14:textId="77777777">
          <w:pPr>
            <w:pStyle w:val="Sidhuvudledtext"/>
          </w:pPr>
        </w:p>
        <w:p w:rsidR="00FA1981" w:rsidRPr="00265332" w:rsidP="002351D6" w14:paraId="6DA0734A" w14:textId="77777777">
          <w:pPr>
            <w:pStyle w:val="Header"/>
          </w:pPr>
        </w:p>
      </w:tc>
    </w:tr>
  </w:tbl>
  <w:p w:rsidR="00FA1981" w:rsidRPr="00265332" w:rsidP="00184AC1" w14:paraId="5921DA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981" w14:paraId="7BFFA635" w14:textId="77777777">
    <w:pPr>
      <w:pStyle w:val="Header"/>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B3352"/>
    <w:multiLevelType w:val="hybridMultilevel"/>
    <w:tmpl w:val="F762EF6A"/>
    <w:lvl w:ilvl="0">
      <w:start w:val="1"/>
      <w:numFmt w:val="bullet"/>
      <w:lvlText w:val=""/>
      <w:lvlJc w:val="left"/>
      <w:pPr>
        <w:ind w:left="2024" w:hanging="360"/>
      </w:pPr>
      <w:rPr>
        <w:rFonts w:ascii="Wingdings" w:hAnsi="Wingdings" w:hint="default"/>
      </w:rPr>
    </w:lvl>
    <w:lvl w:ilvl="1" w:tentative="1">
      <w:start w:val="1"/>
      <w:numFmt w:val="bullet"/>
      <w:lvlText w:val="o"/>
      <w:lvlJc w:val="left"/>
      <w:pPr>
        <w:ind w:left="2744" w:hanging="360"/>
      </w:pPr>
      <w:rPr>
        <w:rFonts w:ascii="Courier New" w:hAnsi="Courier New" w:cs="Courier New" w:hint="default"/>
      </w:rPr>
    </w:lvl>
    <w:lvl w:ilvl="2" w:tentative="1">
      <w:start w:val="1"/>
      <w:numFmt w:val="bullet"/>
      <w:lvlText w:val=""/>
      <w:lvlJc w:val="left"/>
      <w:pPr>
        <w:ind w:left="3464" w:hanging="360"/>
      </w:pPr>
      <w:rPr>
        <w:rFonts w:ascii="Wingdings" w:hAnsi="Wingdings" w:hint="default"/>
      </w:rPr>
    </w:lvl>
    <w:lvl w:ilvl="3" w:tentative="1">
      <w:start w:val="1"/>
      <w:numFmt w:val="bullet"/>
      <w:lvlText w:val=""/>
      <w:lvlJc w:val="left"/>
      <w:pPr>
        <w:ind w:left="4184" w:hanging="360"/>
      </w:pPr>
      <w:rPr>
        <w:rFonts w:ascii="Symbol" w:hAnsi="Symbol" w:hint="default"/>
      </w:rPr>
    </w:lvl>
    <w:lvl w:ilvl="4" w:tentative="1">
      <w:start w:val="1"/>
      <w:numFmt w:val="bullet"/>
      <w:lvlText w:val="o"/>
      <w:lvlJc w:val="left"/>
      <w:pPr>
        <w:ind w:left="4904" w:hanging="360"/>
      </w:pPr>
      <w:rPr>
        <w:rFonts w:ascii="Courier New" w:hAnsi="Courier New" w:cs="Courier New" w:hint="default"/>
      </w:rPr>
    </w:lvl>
    <w:lvl w:ilvl="5" w:tentative="1">
      <w:start w:val="1"/>
      <w:numFmt w:val="bullet"/>
      <w:lvlText w:val=""/>
      <w:lvlJc w:val="left"/>
      <w:pPr>
        <w:ind w:left="5624" w:hanging="360"/>
      </w:pPr>
      <w:rPr>
        <w:rFonts w:ascii="Wingdings" w:hAnsi="Wingdings" w:hint="default"/>
      </w:rPr>
    </w:lvl>
    <w:lvl w:ilvl="6" w:tentative="1">
      <w:start w:val="1"/>
      <w:numFmt w:val="bullet"/>
      <w:lvlText w:val=""/>
      <w:lvlJc w:val="left"/>
      <w:pPr>
        <w:ind w:left="6344" w:hanging="360"/>
      </w:pPr>
      <w:rPr>
        <w:rFonts w:ascii="Symbol" w:hAnsi="Symbol" w:hint="default"/>
      </w:rPr>
    </w:lvl>
    <w:lvl w:ilvl="7" w:tentative="1">
      <w:start w:val="1"/>
      <w:numFmt w:val="bullet"/>
      <w:lvlText w:val="o"/>
      <w:lvlJc w:val="left"/>
      <w:pPr>
        <w:ind w:left="7064" w:hanging="360"/>
      </w:pPr>
      <w:rPr>
        <w:rFonts w:ascii="Courier New" w:hAnsi="Courier New" w:cs="Courier New" w:hint="default"/>
      </w:rPr>
    </w:lvl>
    <w:lvl w:ilvl="8" w:tentative="1">
      <w:start w:val="1"/>
      <w:numFmt w:val="bullet"/>
      <w:lvlText w:val=""/>
      <w:lvlJc w:val="left"/>
      <w:pPr>
        <w:ind w:left="7784" w:hanging="360"/>
      </w:pPr>
      <w:rPr>
        <w:rFonts w:ascii="Wingdings" w:hAnsi="Wingdings" w:hint="default"/>
      </w:rPr>
    </w:lvl>
  </w:abstractNum>
  <w:abstractNum w:abstractNumId="1">
    <w:nsid w:val="1F8B5A9C"/>
    <w:multiLevelType w:val="hybridMultilevel"/>
    <w:tmpl w:val="DA70B30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8D95702"/>
    <w:multiLevelType w:val="hybridMultilevel"/>
    <w:tmpl w:val="6AA6F304"/>
    <w:lvl w:ilvl="0">
      <w:start w:val="1"/>
      <w:numFmt w:val="bullet"/>
      <w:lvlText w:val=""/>
      <w:lvlJc w:val="left"/>
      <w:pPr>
        <w:ind w:left="2024" w:hanging="360"/>
      </w:pPr>
      <w:rPr>
        <w:rFonts w:ascii="Wingdings" w:hAnsi="Wingdings" w:hint="default"/>
      </w:rPr>
    </w:lvl>
    <w:lvl w:ilvl="1" w:tentative="1">
      <w:start w:val="1"/>
      <w:numFmt w:val="bullet"/>
      <w:lvlText w:val="o"/>
      <w:lvlJc w:val="left"/>
      <w:pPr>
        <w:ind w:left="2744" w:hanging="360"/>
      </w:pPr>
      <w:rPr>
        <w:rFonts w:ascii="Courier New" w:hAnsi="Courier New" w:cs="Courier New" w:hint="default"/>
      </w:rPr>
    </w:lvl>
    <w:lvl w:ilvl="2" w:tentative="1">
      <w:start w:val="1"/>
      <w:numFmt w:val="bullet"/>
      <w:lvlText w:val=""/>
      <w:lvlJc w:val="left"/>
      <w:pPr>
        <w:ind w:left="3464" w:hanging="360"/>
      </w:pPr>
      <w:rPr>
        <w:rFonts w:ascii="Wingdings" w:hAnsi="Wingdings" w:hint="default"/>
      </w:rPr>
    </w:lvl>
    <w:lvl w:ilvl="3" w:tentative="1">
      <w:start w:val="1"/>
      <w:numFmt w:val="bullet"/>
      <w:lvlText w:val=""/>
      <w:lvlJc w:val="left"/>
      <w:pPr>
        <w:ind w:left="4184" w:hanging="360"/>
      </w:pPr>
      <w:rPr>
        <w:rFonts w:ascii="Symbol" w:hAnsi="Symbol" w:hint="default"/>
      </w:rPr>
    </w:lvl>
    <w:lvl w:ilvl="4" w:tentative="1">
      <w:start w:val="1"/>
      <w:numFmt w:val="bullet"/>
      <w:lvlText w:val="o"/>
      <w:lvlJc w:val="left"/>
      <w:pPr>
        <w:ind w:left="4904" w:hanging="360"/>
      </w:pPr>
      <w:rPr>
        <w:rFonts w:ascii="Courier New" w:hAnsi="Courier New" w:cs="Courier New" w:hint="default"/>
      </w:rPr>
    </w:lvl>
    <w:lvl w:ilvl="5" w:tentative="1">
      <w:start w:val="1"/>
      <w:numFmt w:val="bullet"/>
      <w:lvlText w:val=""/>
      <w:lvlJc w:val="left"/>
      <w:pPr>
        <w:ind w:left="5624" w:hanging="360"/>
      </w:pPr>
      <w:rPr>
        <w:rFonts w:ascii="Wingdings" w:hAnsi="Wingdings" w:hint="default"/>
      </w:rPr>
    </w:lvl>
    <w:lvl w:ilvl="6" w:tentative="1">
      <w:start w:val="1"/>
      <w:numFmt w:val="bullet"/>
      <w:lvlText w:val=""/>
      <w:lvlJc w:val="left"/>
      <w:pPr>
        <w:ind w:left="6344" w:hanging="360"/>
      </w:pPr>
      <w:rPr>
        <w:rFonts w:ascii="Symbol" w:hAnsi="Symbol" w:hint="default"/>
      </w:rPr>
    </w:lvl>
    <w:lvl w:ilvl="7" w:tentative="1">
      <w:start w:val="1"/>
      <w:numFmt w:val="bullet"/>
      <w:lvlText w:val="o"/>
      <w:lvlJc w:val="left"/>
      <w:pPr>
        <w:ind w:left="7064" w:hanging="360"/>
      </w:pPr>
      <w:rPr>
        <w:rFonts w:ascii="Courier New" w:hAnsi="Courier New" w:cs="Courier New" w:hint="default"/>
      </w:rPr>
    </w:lvl>
    <w:lvl w:ilvl="8" w:tentative="1">
      <w:start w:val="1"/>
      <w:numFmt w:val="bullet"/>
      <w:lvlText w:val=""/>
      <w:lvlJc w:val="left"/>
      <w:pPr>
        <w:ind w:left="7784" w:hanging="360"/>
      </w:pPr>
      <w:rPr>
        <w:rFonts w:ascii="Wingdings" w:hAnsi="Wingdings" w:hint="default"/>
      </w:rPr>
    </w:lvl>
  </w:abstractNum>
  <w:abstractNum w:abstractNumId="3">
    <w:nsid w:val="2DDF719F"/>
    <w:multiLevelType w:val="hybridMultilevel"/>
    <w:tmpl w:val="3DE6F96C"/>
    <w:lvl w:ilvl="0">
      <w:start w:val="1"/>
      <w:numFmt w:val="bullet"/>
      <w:lvlText w:val=""/>
      <w:lvlJc w:val="left"/>
      <w:pPr>
        <w:ind w:left="2383" w:hanging="360"/>
      </w:pPr>
      <w:rPr>
        <w:rFonts w:ascii="Wingdings" w:hAnsi="Wingdings" w:hint="default"/>
      </w:rPr>
    </w:lvl>
    <w:lvl w:ilvl="1" w:tentative="1">
      <w:start w:val="1"/>
      <w:numFmt w:val="bullet"/>
      <w:lvlText w:val="o"/>
      <w:lvlJc w:val="left"/>
      <w:pPr>
        <w:ind w:left="3103" w:hanging="360"/>
      </w:pPr>
      <w:rPr>
        <w:rFonts w:ascii="Courier New" w:hAnsi="Courier New" w:cs="Courier New" w:hint="default"/>
      </w:rPr>
    </w:lvl>
    <w:lvl w:ilvl="2" w:tentative="1">
      <w:start w:val="1"/>
      <w:numFmt w:val="bullet"/>
      <w:lvlText w:val=""/>
      <w:lvlJc w:val="left"/>
      <w:pPr>
        <w:ind w:left="3823" w:hanging="360"/>
      </w:pPr>
      <w:rPr>
        <w:rFonts w:ascii="Wingdings" w:hAnsi="Wingdings" w:hint="default"/>
      </w:rPr>
    </w:lvl>
    <w:lvl w:ilvl="3" w:tentative="1">
      <w:start w:val="1"/>
      <w:numFmt w:val="bullet"/>
      <w:lvlText w:val=""/>
      <w:lvlJc w:val="left"/>
      <w:pPr>
        <w:ind w:left="4543" w:hanging="360"/>
      </w:pPr>
      <w:rPr>
        <w:rFonts w:ascii="Symbol" w:hAnsi="Symbol" w:hint="default"/>
      </w:rPr>
    </w:lvl>
    <w:lvl w:ilvl="4" w:tentative="1">
      <w:start w:val="1"/>
      <w:numFmt w:val="bullet"/>
      <w:lvlText w:val="o"/>
      <w:lvlJc w:val="left"/>
      <w:pPr>
        <w:ind w:left="5263" w:hanging="360"/>
      </w:pPr>
      <w:rPr>
        <w:rFonts w:ascii="Courier New" w:hAnsi="Courier New" w:cs="Courier New" w:hint="default"/>
      </w:rPr>
    </w:lvl>
    <w:lvl w:ilvl="5" w:tentative="1">
      <w:start w:val="1"/>
      <w:numFmt w:val="bullet"/>
      <w:lvlText w:val=""/>
      <w:lvlJc w:val="left"/>
      <w:pPr>
        <w:ind w:left="5983" w:hanging="360"/>
      </w:pPr>
      <w:rPr>
        <w:rFonts w:ascii="Wingdings" w:hAnsi="Wingdings" w:hint="default"/>
      </w:rPr>
    </w:lvl>
    <w:lvl w:ilvl="6" w:tentative="1">
      <w:start w:val="1"/>
      <w:numFmt w:val="bullet"/>
      <w:lvlText w:val=""/>
      <w:lvlJc w:val="left"/>
      <w:pPr>
        <w:ind w:left="6703" w:hanging="360"/>
      </w:pPr>
      <w:rPr>
        <w:rFonts w:ascii="Symbol" w:hAnsi="Symbol" w:hint="default"/>
      </w:rPr>
    </w:lvl>
    <w:lvl w:ilvl="7" w:tentative="1">
      <w:start w:val="1"/>
      <w:numFmt w:val="bullet"/>
      <w:lvlText w:val="o"/>
      <w:lvlJc w:val="left"/>
      <w:pPr>
        <w:ind w:left="7423" w:hanging="360"/>
      </w:pPr>
      <w:rPr>
        <w:rFonts w:ascii="Courier New" w:hAnsi="Courier New" w:cs="Courier New" w:hint="default"/>
      </w:rPr>
    </w:lvl>
    <w:lvl w:ilvl="8" w:tentative="1">
      <w:start w:val="1"/>
      <w:numFmt w:val="bullet"/>
      <w:lvlText w:val=""/>
      <w:lvlJc w:val="left"/>
      <w:pPr>
        <w:ind w:left="8143" w:hanging="360"/>
      </w:pPr>
      <w:rPr>
        <w:rFonts w:ascii="Wingdings" w:hAnsi="Wingdings" w:hint="default"/>
      </w:rPr>
    </w:lvl>
  </w:abstractNum>
  <w:abstractNum w:abstractNumId="4">
    <w:nsid w:val="2E677145"/>
    <w:multiLevelType w:val="hybridMultilevel"/>
    <w:tmpl w:val="83246CC0"/>
    <w:lvl w:ilvl="0">
      <w:start w:val="1"/>
      <w:numFmt w:val="bullet"/>
      <w:lvlText w:val=""/>
      <w:lvlJc w:val="left"/>
      <w:pPr>
        <w:ind w:left="2742" w:hanging="360"/>
      </w:pPr>
      <w:rPr>
        <w:rFonts w:ascii="Symbol" w:hAnsi="Symbol" w:hint="default"/>
      </w:rPr>
    </w:lvl>
    <w:lvl w:ilvl="1" w:tentative="1">
      <w:start w:val="1"/>
      <w:numFmt w:val="bullet"/>
      <w:lvlText w:val="o"/>
      <w:lvlJc w:val="left"/>
      <w:pPr>
        <w:ind w:left="3462" w:hanging="360"/>
      </w:pPr>
      <w:rPr>
        <w:rFonts w:ascii="Courier New" w:hAnsi="Courier New" w:cs="Courier New" w:hint="default"/>
      </w:rPr>
    </w:lvl>
    <w:lvl w:ilvl="2" w:tentative="1">
      <w:start w:val="1"/>
      <w:numFmt w:val="bullet"/>
      <w:lvlText w:val=""/>
      <w:lvlJc w:val="left"/>
      <w:pPr>
        <w:ind w:left="4182" w:hanging="360"/>
      </w:pPr>
      <w:rPr>
        <w:rFonts w:ascii="Wingdings" w:hAnsi="Wingdings" w:hint="default"/>
      </w:rPr>
    </w:lvl>
    <w:lvl w:ilvl="3" w:tentative="1">
      <w:start w:val="1"/>
      <w:numFmt w:val="bullet"/>
      <w:lvlText w:val=""/>
      <w:lvlJc w:val="left"/>
      <w:pPr>
        <w:ind w:left="4902" w:hanging="360"/>
      </w:pPr>
      <w:rPr>
        <w:rFonts w:ascii="Symbol" w:hAnsi="Symbol" w:hint="default"/>
      </w:rPr>
    </w:lvl>
    <w:lvl w:ilvl="4" w:tentative="1">
      <w:start w:val="1"/>
      <w:numFmt w:val="bullet"/>
      <w:lvlText w:val="o"/>
      <w:lvlJc w:val="left"/>
      <w:pPr>
        <w:ind w:left="5622" w:hanging="360"/>
      </w:pPr>
      <w:rPr>
        <w:rFonts w:ascii="Courier New" w:hAnsi="Courier New" w:cs="Courier New" w:hint="default"/>
      </w:rPr>
    </w:lvl>
    <w:lvl w:ilvl="5" w:tentative="1">
      <w:start w:val="1"/>
      <w:numFmt w:val="bullet"/>
      <w:lvlText w:val=""/>
      <w:lvlJc w:val="left"/>
      <w:pPr>
        <w:ind w:left="6342" w:hanging="360"/>
      </w:pPr>
      <w:rPr>
        <w:rFonts w:ascii="Wingdings" w:hAnsi="Wingdings" w:hint="default"/>
      </w:rPr>
    </w:lvl>
    <w:lvl w:ilvl="6" w:tentative="1">
      <w:start w:val="1"/>
      <w:numFmt w:val="bullet"/>
      <w:lvlText w:val=""/>
      <w:lvlJc w:val="left"/>
      <w:pPr>
        <w:ind w:left="7062" w:hanging="360"/>
      </w:pPr>
      <w:rPr>
        <w:rFonts w:ascii="Symbol" w:hAnsi="Symbol" w:hint="default"/>
      </w:rPr>
    </w:lvl>
    <w:lvl w:ilvl="7" w:tentative="1">
      <w:start w:val="1"/>
      <w:numFmt w:val="bullet"/>
      <w:lvlText w:val="o"/>
      <w:lvlJc w:val="left"/>
      <w:pPr>
        <w:ind w:left="7782" w:hanging="360"/>
      </w:pPr>
      <w:rPr>
        <w:rFonts w:ascii="Courier New" w:hAnsi="Courier New" w:cs="Courier New" w:hint="default"/>
      </w:rPr>
    </w:lvl>
    <w:lvl w:ilvl="8" w:tentative="1">
      <w:start w:val="1"/>
      <w:numFmt w:val="bullet"/>
      <w:lvlText w:val=""/>
      <w:lvlJc w:val="left"/>
      <w:pPr>
        <w:ind w:left="8502" w:hanging="360"/>
      </w:pPr>
      <w:rPr>
        <w:rFonts w:ascii="Wingdings" w:hAnsi="Wingdings" w:hint="default"/>
      </w:rPr>
    </w:lvl>
  </w:abstractNum>
  <w:abstractNum w:abstractNumId="5">
    <w:nsid w:val="55795B76"/>
    <w:multiLevelType w:val="hybridMultilevel"/>
    <w:tmpl w:val="2834ACCC"/>
    <w:lvl w:ilvl="0">
      <w:start w:val="1"/>
      <w:numFmt w:val="bullet"/>
      <w:lvlText w:val=""/>
      <w:lvlJc w:val="left"/>
      <w:pPr>
        <w:ind w:left="2024" w:hanging="360"/>
      </w:pPr>
      <w:rPr>
        <w:rFonts w:ascii="Wingdings" w:hAnsi="Wingdings" w:hint="default"/>
      </w:rPr>
    </w:lvl>
    <w:lvl w:ilvl="1" w:tentative="1">
      <w:start w:val="1"/>
      <w:numFmt w:val="bullet"/>
      <w:lvlText w:val="o"/>
      <w:lvlJc w:val="left"/>
      <w:pPr>
        <w:ind w:left="2744" w:hanging="360"/>
      </w:pPr>
      <w:rPr>
        <w:rFonts w:ascii="Courier New" w:hAnsi="Courier New" w:cs="Courier New" w:hint="default"/>
      </w:rPr>
    </w:lvl>
    <w:lvl w:ilvl="2" w:tentative="1">
      <w:start w:val="1"/>
      <w:numFmt w:val="bullet"/>
      <w:lvlText w:val=""/>
      <w:lvlJc w:val="left"/>
      <w:pPr>
        <w:ind w:left="3464" w:hanging="360"/>
      </w:pPr>
      <w:rPr>
        <w:rFonts w:ascii="Wingdings" w:hAnsi="Wingdings" w:hint="default"/>
      </w:rPr>
    </w:lvl>
    <w:lvl w:ilvl="3" w:tentative="1">
      <w:start w:val="1"/>
      <w:numFmt w:val="bullet"/>
      <w:lvlText w:val=""/>
      <w:lvlJc w:val="left"/>
      <w:pPr>
        <w:ind w:left="4184" w:hanging="360"/>
      </w:pPr>
      <w:rPr>
        <w:rFonts w:ascii="Symbol" w:hAnsi="Symbol" w:hint="default"/>
      </w:rPr>
    </w:lvl>
    <w:lvl w:ilvl="4" w:tentative="1">
      <w:start w:val="1"/>
      <w:numFmt w:val="bullet"/>
      <w:lvlText w:val="o"/>
      <w:lvlJc w:val="left"/>
      <w:pPr>
        <w:ind w:left="4904" w:hanging="360"/>
      </w:pPr>
      <w:rPr>
        <w:rFonts w:ascii="Courier New" w:hAnsi="Courier New" w:cs="Courier New" w:hint="default"/>
      </w:rPr>
    </w:lvl>
    <w:lvl w:ilvl="5" w:tentative="1">
      <w:start w:val="1"/>
      <w:numFmt w:val="bullet"/>
      <w:lvlText w:val=""/>
      <w:lvlJc w:val="left"/>
      <w:pPr>
        <w:ind w:left="5624" w:hanging="360"/>
      </w:pPr>
      <w:rPr>
        <w:rFonts w:ascii="Wingdings" w:hAnsi="Wingdings" w:hint="default"/>
      </w:rPr>
    </w:lvl>
    <w:lvl w:ilvl="6" w:tentative="1">
      <w:start w:val="1"/>
      <w:numFmt w:val="bullet"/>
      <w:lvlText w:val=""/>
      <w:lvlJc w:val="left"/>
      <w:pPr>
        <w:ind w:left="6344" w:hanging="360"/>
      </w:pPr>
      <w:rPr>
        <w:rFonts w:ascii="Symbol" w:hAnsi="Symbol" w:hint="default"/>
      </w:rPr>
    </w:lvl>
    <w:lvl w:ilvl="7" w:tentative="1">
      <w:start w:val="1"/>
      <w:numFmt w:val="bullet"/>
      <w:lvlText w:val="o"/>
      <w:lvlJc w:val="left"/>
      <w:pPr>
        <w:ind w:left="7064" w:hanging="360"/>
      </w:pPr>
      <w:rPr>
        <w:rFonts w:ascii="Courier New" w:hAnsi="Courier New" w:cs="Courier New" w:hint="default"/>
      </w:rPr>
    </w:lvl>
    <w:lvl w:ilvl="8" w:tentative="1">
      <w:start w:val="1"/>
      <w:numFmt w:val="bullet"/>
      <w:lvlText w:val=""/>
      <w:lvlJc w:val="left"/>
      <w:pPr>
        <w:ind w:left="7784" w:hanging="360"/>
      </w:pPr>
      <w:rPr>
        <w:rFonts w:ascii="Wingdings" w:hAnsi="Wingdings" w:hint="default"/>
      </w:rPr>
    </w:lvl>
  </w:abstractNum>
  <w:abstractNum w:abstractNumId="6">
    <w:nsid w:val="614A1E50"/>
    <w:multiLevelType w:val="hybridMultilevel"/>
    <w:tmpl w:val="AC4EBF4C"/>
    <w:lvl w:ilvl="0">
      <w:start w:val="0"/>
      <w:numFmt w:val="bullet"/>
      <w:lvlText w:val=""/>
      <w:lvlJc w:val="left"/>
      <w:pPr>
        <w:ind w:left="1664" w:hanging="360"/>
      </w:pPr>
      <w:rPr>
        <w:rFonts w:ascii="Symbol" w:eastAsia="Times New Roman" w:hAnsi="Symbol" w:cs="Times New Roman" w:hint="default"/>
        <w:u w:val="none"/>
      </w:rPr>
    </w:lvl>
    <w:lvl w:ilvl="1" w:tentative="1">
      <w:start w:val="1"/>
      <w:numFmt w:val="bullet"/>
      <w:lvlText w:val="o"/>
      <w:lvlJc w:val="left"/>
      <w:pPr>
        <w:ind w:left="2384" w:hanging="360"/>
      </w:pPr>
      <w:rPr>
        <w:rFonts w:ascii="Courier New" w:hAnsi="Courier New" w:cs="Courier New" w:hint="default"/>
      </w:rPr>
    </w:lvl>
    <w:lvl w:ilvl="2" w:tentative="1">
      <w:start w:val="1"/>
      <w:numFmt w:val="bullet"/>
      <w:lvlText w:val=""/>
      <w:lvlJc w:val="left"/>
      <w:pPr>
        <w:ind w:left="3104" w:hanging="360"/>
      </w:pPr>
      <w:rPr>
        <w:rFonts w:ascii="Wingdings" w:hAnsi="Wingdings" w:hint="default"/>
      </w:rPr>
    </w:lvl>
    <w:lvl w:ilvl="3" w:tentative="1">
      <w:start w:val="1"/>
      <w:numFmt w:val="bullet"/>
      <w:lvlText w:val=""/>
      <w:lvlJc w:val="left"/>
      <w:pPr>
        <w:ind w:left="3824" w:hanging="360"/>
      </w:pPr>
      <w:rPr>
        <w:rFonts w:ascii="Symbol" w:hAnsi="Symbol" w:hint="default"/>
      </w:rPr>
    </w:lvl>
    <w:lvl w:ilvl="4" w:tentative="1">
      <w:start w:val="1"/>
      <w:numFmt w:val="bullet"/>
      <w:lvlText w:val="o"/>
      <w:lvlJc w:val="left"/>
      <w:pPr>
        <w:ind w:left="4544" w:hanging="360"/>
      </w:pPr>
      <w:rPr>
        <w:rFonts w:ascii="Courier New" w:hAnsi="Courier New" w:cs="Courier New" w:hint="default"/>
      </w:rPr>
    </w:lvl>
    <w:lvl w:ilvl="5" w:tentative="1">
      <w:start w:val="1"/>
      <w:numFmt w:val="bullet"/>
      <w:lvlText w:val=""/>
      <w:lvlJc w:val="left"/>
      <w:pPr>
        <w:ind w:left="5264" w:hanging="360"/>
      </w:pPr>
      <w:rPr>
        <w:rFonts w:ascii="Wingdings" w:hAnsi="Wingdings" w:hint="default"/>
      </w:rPr>
    </w:lvl>
    <w:lvl w:ilvl="6" w:tentative="1">
      <w:start w:val="1"/>
      <w:numFmt w:val="bullet"/>
      <w:lvlText w:val=""/>
      <w:lvlJc w:val="left"/>
      <w:pPr>
        <w:ind w:left="5984" w:hanging="360"/>
      </w:pPr>
      <w:rPr>
        <w:rFonts w:ascii="Symbol" w:hAnsi="Symbol" w:hint="default"/>
      </w:rPr>
    </w:lvl>
    <w:lvl w:ilvl="7" w:tentative="1">
      <w:start w:val="1"/>
      <w:numFmt w:val="bullet"/>
      <w:lvlText w:val="o"/>
      <w:lvlJc w:val="left"/>
      <w:pPr>
        <w:ind w:left="6704" w:hanging="360"/>
      </w:pPr>
      <w:rPr>
        <w:rFonts w:ascii="Courier New" w:hAnsi="Courier New" w:cs="Courier New" w:hint="default"/>
      </w:rPr>
    </w:lvl>
    <w:lvl w:ilvl="8" w:tentative="1">
      <w:start w:val="1"/>
      <w:numFmt w:val="bullet"/>
      <w:lvlText w:val=""/>
      <w:lvlJc w:val="left"/>
      <w:pPr>
        <w:ind w:left="7424" w:hanging="360"/>
      </w:pPr>
      <w:rPr>
        <w:rFonts w:ascii="Wingdings" w:hAnsi="Wingdings" w:hint="default"/>
      </w:rPr>
    </w:lvl>
  </w:abstractNum>
  <w:num w:numId="1" w16cid:durableId="838347063">
    <w:abstractNumId w:val="6"/>
  </w:num>
  <w:num w:numId="2" w16cid:durableId="529686118">
    <w:abstractNumId w:val="0"/>
  </w:num>
  <w:num w:numId="3" w16cid:durableId="736056799">
    <w:abstractNumId w:val="2"/>
  </w:num>
  <w:num w:numId="4" w16cid:durableId="1176574774">
    <w:abstractNumId w:val="5"/>
  </w:num>
  <w:num w:numId="5" w16cid:durableId="27068222">
    <w:abstractNumId w:val="3"/>
  </w:num>
  <w:num w:numId="6" w16cid:durableId="620307504">
    <w:abstractNumId w:val="4"/>
  </w:num>
  <w:num w:numId="7" w16cid:durableId="86822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304"/>
  <w:hyphenationZone w:val="425"/>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332"/>
    <w:rsid w:val="0000304A"/>
    <w:rsid w:val="0001779B"/>
    <w:rsid w:val="00036C8E"/>
    <w:rsid w:val="00056BE6"/>
    <w:rsid w:val="00076888"/>
    <w:rsid w:val="00082B95"/>
    <w:rsid w:val="000875A0"/>
    <w:rsid w:val="000938F0"/>
    <w:rsid w:val="000968E0"/>
    <w:rsid w:val="000A7CD6"/>
    <w:rsid w:val="000B073C"/>
    <w:rsid w:val="000C0782"/>
    <w:rsid w:val="000C45D0"/>
    <w:rsid w:val="000C76CD"/>
    <w:rsid w:val="000D6185"/>
    <w:rsid w:val="000D6A6B"/>
    <w:rsid w:val="000D7DAC"/>
    <w:rsid w:val="000E4629"/>
    <w:rsid w:val="000F239C"/>
    <w:rsid w:val="00104F4C"/>
    <w:rsid w:val="00106227"/>
    <w:rsid w:val="00111E33"/>
    <w:rsid w:val="00120A07"/>
    <w:rsid w:val="00144939"/>
    <w:rsid w:val="00154706"/>
    <w:rsid w:val="00156345"/>
    <w:rsid w:val="00156855"/>
    <w:rsid w:val="00165ED0"/>
    <w:rsid w:val="0016659D"/>
    <w:rsid w:val="00170904"/>
    <w:rsid w:val="00177D94"/>
    <w:rsid w:val="00184AC1"/>
    <w:rsid w:val="001907AB"/>
    <w:rsid w:val="001A7347"/>
    <w:rsid w:val="001B7262"/>
    <w:rsid w:val="001B7862"/>
    <w:rsid w:val="001C5836"/>
    <w:rsid w:val="001F1ED3"/>
    <w:rsid w:val="001F677A"/>
    <w:rsid w:val="002012C5"/>
    <w:rsid w:val="00202024"/>
    <w:rsid w:val="002351D6"/>
    <w:rsid w:val="00253FA6"/>
    <w:rsid w:val="00256083"/>
    <w:rsid w:val="00265332"/>
    <w:rsid w:val="00272C92"/>
    <w:rsid w:val="002864D6"/>
    <w:rsid w:val="00294ADC"/>
    <w:rsid w:val="00295A4C"/>
    <w:rsid w:val="002A27C6"/>
    <w:rsid w:val="002E15B1"/>
    <w:rsid w:val="002F271B"/>
    <w:rsid w:val="00304A12"/>
    <w:rsid w:val="00306F4D"/>
    <w:rsid w:val="0031139E"/>
    <w:rsid w:val="00320F45"/>
    <w:rsid w:val="003230C2"/>
    <w:rsid w:val="0033061E"/>
    <w:rsid w:val="00340117"/>
    <w:rsid w:val="00346659"/>
    <w:rsid w:val="003502FA"/>
    <w:rsid w:val="00352027"/>
    <w:rsid w:val="00365689"/>
    <w:rsid w:val="0037042E"/>
    <w:rsid w:val="00372BE4"/>
    <w:rsid w:val="003909B6"/>
    <w:rsid w:val="0039113C"/>
    <w:rsid w:val="003A0F62"/>
    <w:rsid w:val="003C7971"/>
    <w:rsid w:val="003E6BB0"/>
    <w:rsid w:val="003E79C7"/>
    <w:rsid w:val="003F0C7D"/>
    <w:rsid w:val="0040232C"/>
    <w:rsid w:val="0040697E"/>
    <w:rsid w:val="00422A38"/>
    <w:rsid w:val="00423C6D"/>
    <w:rsid w:val="004333AA"/>
    <w:rsid w:val="00445F2B"/>
    <w:rsid w:val="00447386"/>
    <w:rsid w:val="00451495"/>
    <w:rsid w:val="004564CD"/>
    <w:rsid w:val="0046622D"/>
    <w:rsid w:val="004734EE"/>
    <w:rsid w:val="004756AC"/>
    <w:rsid w:val="0047642E"/>
    <w:rsid w:val="00477A62"/>
    <w:rsid w:val="004958D2"/>
    <w:rsid w:val="004A072C"/>
    <w:rsid w:val="004B645C"/>
    <w:rsid w:val="004B67CA"/>
    <w:rsid w:val="004C50B6"/>
    <w:rsid w:val="004C604F"/>
    <w:rsid w:val="004D4C1C"/>
    <w:rsid w:val="004E1071"/>
    <w:rsid w:val="004E1D71"/>
    <w:rsid w:val="0051415C"/>
    <w:rsid w:val="005203BF"/>
    <w:rsid w:val="00522E57"/>
    <w:rsid w:val="00533997"/>
    <w:rsid w:val="00535B74"/>
    <w:rsid w:val="005517C6"/>
    <w:rsid w:val="005543D1"/>
    <w:rsid w:val="00557CDB"/>
    <w:rsid w:val="005660A9"/>
    <w:rsid w:val="005706BB"/>
    <w:rsid w:val="00571E91"/>
    <w:rsid w:val="005725D3"/>
    <w:rsid w:val="0057357F"/>
    <w:rsid w:val="00594454"/>
    <w:rsid w:val="00595DD9"/>
    <w:rsid w:val="00596109"/>
    <w:rsid w:val="00596FD2"/>
    <w:rsid w:val="00597D32"/>
    <w:rsid w:val="005A4E1F"/>
    <w:rsid w:val="005B0866"/>
    <w:rsid w:val="005C32A0"/>
    <w:rsid w:val="005C62CA"/>
    <w:rsid w:val="005C70ED"/>
    <w:rsid w:val="005D3923"/>
    <w:rsid w:val="005E3846"/>
    <w:rsid w:val="005F22F0"/>
    <w:rsid w:val="00601420"/>
    <w:rsid w:val="00607E6D"/>
    <w:rsid w:val="00610784"/>
    <w:rsid w:val="0061439D"/>
    <w:rsid w:val="00623485"/>
    <w:rsid w:val="00637B82"/>
    <w:rsid w:val="006448B5"/>
    <w:rsid w:val="0064799B"/>
    <w:rsid w:val="006551DA"/>
    <w:rsid w:val="006615D0"/>
    <w:rsid w:val="00662909"/>
    <w:rsid w:val="00664AF8"/>
    <w:rsid w:val="00664C06"/>
    <w:rsid w:val="006671E1"/>
    <w:rsid w:val="00672B52"/>
    <w:rsid w:val="00686033"/>
    <w:rsid w:val="0069107B"/>
    <w:rsid w:val="006A0CF7"/>
    <w:rsid w:val="006A1FD4"/>
    <w:rsid w:val="006A53FC"/>
    <w:rsid w:val="006B03DF"/>
    <w:rsid w:val="006B1931"/>
    <w:rsid w:val="006B4E5C"/>
    <w:rsid w:val="006C587B"/>
    <w:rsid w:val="006C642A"/>
    <w:rsid w:val="006C6A36"/>
    <w:rsid w:val="006C74BA"/>
    <w:rsid w:val="006D3212"/>
    <w:rsid w:val="006D44C3"/>
    <w:rsid w:val="006D52FA"/>
    <w:rsid w:val="006E5157"/>
    <w:rsid w:val="006E6FE9"/>
    <w:rsid w:val="006F485F"/>
    <w:rsid w:val="006F78BA"/>
    <w:rsid w:val="006F796D"/>
    <w:rsid w:val="00700DE9"/>
    <w:rsid w:val="0070163B"/>
    <w:rsid w:val="0070578A"/>
    <w:rsid w:val="00705D00"/>
    <w:rsid w:val="00722F6B"/>
    <w:rsid w:val="00731268"/>
    <w:rsid w:val="00737FB8"/>
    <w:rsid w:val="0075203C"/>
    <w:rsid w:val="00752261"/>
    <w:rsid w:val="00757F53"/>
    <w:rsid w:val="00764643"/>
    <w:rsid w:val="00764DEC"/>
    <w:rsid w:val="00792A2B"/>
    <w:rsid w:val="007A5216"/>
    <w:rsid w:val="007C0315"/>
    <w:rsid w:val="007C1F87"/>
    <w:rsid w:val="007E1B50"/>
    <w:rsid w:val="007E4AE6"/>
    <w:rsid w:val="00805910"/>
    <w:rsid w:val="00816620"/>
    <w:rsid w:val="008301E0"/>
    <w:rsid w:val="00842F76"/>
    <w:rsid w:val="008506B3"/>
    <w:rsid w:val="00854599"/>
    <w:rsid w:val="00871B81"/>
    <w:rsid w:val="00876B2C"/>
    <w:rsid w:val="00877C1F"/>
    <w:rsid w:val="008853C0"/>
    <w:rsid w:val="008D0FBB"/>
    <w:rsid w:val="008D2B15"/>
    <w:rsid w:val="008E2677"/>
    <w:rsid w:val="008F3B8D"/>
    <w:rsid w:val="008F7E78"/>
    <w:rsid w:val="0090277D"/>
    <w:rsid w:val="00916B30"/>
    <w:rsid w:val="00925265"/>
    <w:rsid w:val="0093045D"/>
    <w:rsid w:val="00932C58"/>
    <w:rsid w:val="009333C4"/>
    <w:rsid w:val="0096012B"/>
    <w:rsid w:val="0096286B"/>
    <w:rsid w:val="009672F0"/>
    <w:rsid w:val="00974C0A"/>
    <w:rsid w:val="009812EA"/>
    <w:rsid w:val="00994614"/>
    <w:rsid w:val="00994A76"/>
    <w:rsid w:val="00997952"/>
    <w:rsid w:val="009A4E56"/>
    <w:rsid w:val="009A66FF"/>
    <w:rsid w:val="009B535C"/>
    <w:rsid w:val="009B612D"/>
    <w:rsid w:val="009C05A4"/>
    <w:rsid w:val="009D2773"/>
    <w:rsid w:val="009D6EEF"/>
    <w:rsid w:val="009F0B1F"/>
    <w:rsid w:val="009F1CCC"/>
    <w:rsid w:val="009F3A2E"/>
    <w:rsid w:val="009F4569"/>
    <w:rsid w:val="009F63D1"/>
    <w:rsid w:val="00A01A91"/>
    <w:rsid w:val="00A062FC"/>
    <w:rsid w:val="00A44D4E"/>
    <w:rsid w:val="00A46F57"/>
    <w:rsid w:val="00A7036F"/>
    <w:rsid w:val="00A70975"/>
    <w:rsid w:val="00A76A94"/>
    <w:rsid w:val="00A80039"/>
    <w:rsid w:val="00A84A46"/>
    <w:rsid w:val="00A873AE"/>
    <w:rsid w:val="00A92017"/>
    <w:rsid w:val="00A96BDA"/>
    <w:rsid w:val="00A971E6"/>
    <w:rsid w:val="00AA2980"/>
    <w:rsid w:val="00AA3784"/>
    <w:rsid w:val="00AB12D9"/>
    <w:rsid w:val="00AB367D"/>
    <w:rsid w:val="00AC3611"/>
    <w:rsid w:val="00AE093F"/>
    <w:rsid w:val="00B01D70"/>
    <w:rsid w:val="00B027CB"/>
    <w:rsid w:val="00B02D86"/>
    <w:rsid w:val="00B0348E"/>
    <w:rsid w:val="00B235F2"/>
    <w:rsid w:val="00B23ACA"/>
    <w:rsid w:val="00B25C0B"/>
    <w:rsid w:val="00B37254"/>
    <w:rsid w:val="00B400F6"/>
    <w:rsid w:val="00B47774"/>
    <w:rsid w:val="00B53F73"/>
    <w:rsid w:val="00B63C0F"/>
    <w:rsid w:val="00B7600A"/>
    <w:rsid w:val="00B82E2D"/>
    <w:rsid w:val="00B87953"/>
    <w:rsid w:val="00B9386C"/>
    <w:rsid w:val="00BA066B"/>
    <w:rsid w:val="00BA1D94"/>
    <w:rsid w:val="00BA48A6"/>
    <w:rsid w:val="00BB2B9A"/>
    <w:rsid w:val="00BB2D7D"/>
    <w:rsid w:val="00BD1DCF"/>
    <w:rsid w:val="00BE6479"/>
    <w:rsid w:val="00C01C93"/>
    <w:rsid w:val="00C07309"/>
    <w:rsid w:val="00C11D54"/>
    <w:rsid w:val="00C2578F"/>
    <w:rsid w:val="00C277FF"/>
    <w:rsid w:val="00C34B7C"/>
    <w:rsid w:val="00C407D6"/>
    <w:rsid w:val="00C51587"/>
    <w:rsid w:val="00C62068"/>
    <w:rsid w:val="00C63372"/>
    <w:rsid w:val="00C64FC5"/>
    <w:rsid w:val="00C81449"/>
    <w:rsid w:val="00C84CBE"/>
    <w:rsid w:val="00CA31B2"/>
    <w:rsid w:val="00CC3DDA"/>
    <w:rsid w:val="00CE1880"/>
    <w:rsid w:val="00CF2B0B"/>
    <w:rsid w:val="00D100E5"/>
    <w:rsid w:val="00D13902"/>
    <w:rsid w:val="00D25FB7"/>
    <w:rsid w:val="00D26CC3"/>
    <w:rsid w:val="00D438D5"/>
    <w:rsid w:val="00D456B1"/>
    <w:rsid w:val="00D54EBD"/>
    <w:rsid w:val="00D55DB6"/>
    <w:rsid w:val="00D56812"/>
    <w:rsid w:val="00D76894"/>
    <w:rsid w:val="00D94466"/>
    <w:rsid w:val="00D9646F"/>
    <w:rsid w:val="00DC1DC9"/>
    <w:rsid w:val="00DC1EAA"/>
    <w:rsid w:val="00DE3B3D"/>
    <w:rsid w:val="00DF4EBA"/>
    <w:rsid w:val="00DF6715"/>
    <w:rsid w:val="00E06895"/>
    <w:rsid w:val="00E13199"/>
    <w:rsid w:val="00E22734"/>
    <w:rsid w:val="00E36744"/>
    <w:rsid w:val="00E50B4C"/>
    <w:rsid w:val="00E67285"/>
    <w:rsid w:val="00E830A2"/>
    <w:rsid w:val="00E85BEC"/>
    <w:rsid w:val="00E973E1"/>
    <w:rsid w:val="00EA4BD9"/>
    <w:rsid w:val="00EB31E5"/>
    <w:rsid w:val="00EB61F4"/>
    <w:rsid w:val="00EB6D79"/>
    <w:rsid w:val="00EC4C9E"/>
    <w:rsid w:val="00EC5C4F"/>
    <w:rsid w:val="00EC6B75"/>
    <w:rsid w:val="00ED627E"/>
    <w:rsid w:val="00EE14E9"/>
    <w:rsid w:val="00EE17C1"/>
    <w:rsid w:val="00EE2FB8"/>
    <w:rsid w:val="00EE75ED"/>
    <w:rsid w:val="00EF115A"/>
    <w:rsid w:val="00EF594E"/>
    <w:rsid w:val="00F0783A"/>
    <w:rsid w:val="00F104E2"/>
    <w:rsid w:val="00F11223"/>
    <w:rsid w:val="00F14FC0"/>
    <w:rsid w:val="00F22C8C"/>
    <w:rsid w:val="00F30136"/>
    <w:rsid w:val="00F37A73"/>
    <w:rsid w:val="00F44466"/>
    <w:rsid w:val="00F44E89"/>
    <w:rsid w:val="00F477E1"/>
    <w:rsid w:val="00F5224F"/>
    <w:rsid w:val="00F564CA"/>
    <w:rsid w:val="00F74D48"/>
    <w:rsid w:val="00F77D72"/>
    <w:rsid w:val="00F809B1"/>
    <w:rsid w:val="00F833D2"/>
    <w:rsid w:val="00F83CD8"/>
    <w:rsid w:val="00F8506E"/>
    <w:rsid w:val="00F94753"/>
    <w:rsid w:val="00F9696A"/>
    <w:rsid w:val="00FA1981"/>
    <w:rsid w:val="00FA2FB6"/>
    <w:rsid w:val="00FA4BA2"/>
    <w:rsid w:val="00FA4D81"/>
    <w:rsid w:val="00FA67AB"/>
    <w:rsid w:val="00FB648E"/>
    <w:rsid w:val="00FC2D8B"/>
    <w:rsid w:val="00FC73AC"/>
    <w:rsid w:val="00FC7967"/>
    <w:rsid w:val="00FD41EC"/>
    <w:rsid w:val="00FD59EB"/>
    <w:rsid w:val="00FF0DE4"/>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03126C06"/>
  <w15:docId w15:val="{00B52FDD-147A-42A5-9B8C-327B8728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227"/>
    <w:pPr>
      <w:spacing w:after="120"/>
      <w:ind w:left="1304" w:right="1531"/>
    </w:pPr>
    <w:rPr>
      <w:sz w:val="24"/>
    </w:rPr>
  </w:style>
  <w:style w:type="paragraph" w:styleId="Heading1">
    <w:name w:val="heading 1"/>
    <w:basedOn w:val="Normal"/>
    <w:next w:val="Normal"/>
    <w:qFormat/>
    <w:rsid w:val="00EC5C4F"/>
    <w:pPr>
      <w:keepNext/>
      <w:spacing w:before="480"/>
      <w:outlineLvl w:val="0"/>
    </w:pPr>
    <w:rPr>
      <w:rFonts w:ascii="Arial" w:hAnsi="Arial"/>
      <w:b/>
      <w:sz w:val="28"/>
    </w:rPr>
  </w:style>
  <w:style w:type="paragraph" w:styleId="Heading2">
    <w:name w:val="heading 2"/>
    <w:basedOn w:val="Normal"/>
    <w:next w:val="Normal"/>
    <w:qFormat/>
    <w:rsid w:val="00EC5C4F"/>
    <w:pPr>
      <w:keepNext/>
      <w:spacing w:before="360" w:after="60"/>
      <w:outlineLvl w:val="1"/>
    </w:pPr>
    <w:rPr>
      <w:rFonts w:ascii="Arial" w:hAnsi="Arial"/>
      <w:b/>
    </w:rPr>
  </w:style>
  <w:style w:type="paragraph" w:styleId="Heading3">
    <w:name w:val="heading 3"/>
    <w:basedOn w:val="Normal"/>
    <w:next w:val="Normal"/>
    <w:qFormat/>
    <w:rsid w:val="00EC5C4F"/>
    <w:pPr>
      <w:keepNext/>
      <w:spacing w:before="180" w:after="0"/>
      <w:outlineLvl w:val="2"/>
    </w:pPr>
    <w:rPr>
      <w:rFonts w:ascii="Arial" w:hAnsi="Arial"/>
      <w:sz w:val="22"/>
    </w:rPr>
  </w:style>
  <w:style w:type="paragraph" w:styleId="Heading4">
    <w:name w:val="heading 4"/>
    <w:basedOn w:val="Normal"/>
    <w:next w:val="Normal"/>
    <w:qFormat/>
    <w:rsid w:val="00EC5C4F"/>
    <w:pPr>
      <w:keepNext/>
      <w:spacing w:before="120"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dtext">
    <w:name w:val="Bildtext"/>
    <w:basedOn w:val="Normal"/>
    <w:next w:val="Normal"/>
    <w:rsid w:val="00EC5C4F"/>
    <w:rPr>
      <w:sz w:val="22"/>
    </w:rPr>
  </w:style>
  <w:style w:type="paragraph" w:customStyle="1" w:styleId="Tabellrubrik">
    <w:name w:val="Tabellrubrik"/>
    <w:basedOn w:val="Tabell"/>
    <w:next w:val="Tabell"/>
    <w:rsid w:val="00571E91"/>
    <w:pPr>
      <w:spacing w:before="120" w:after="0"/>
    </w:pPr>
    <w:rPr>
      <w:b/>
    </w:rPr>
  </w:style>
  <w:style w:type="paragraph" w:customStyle="1" w:styleId="Tabellunderrubrik">
    <w:name w:val="Tabellunderrubrik"/>
    <w:basedOn w:val="Tabell"/>
    <w:next w:val="Tabell"/>
    <w:rsid w:val="00106227"/>
    <w:pPr>
      <w:spacing w:before="120" w:after="0"/>
    </w:pPr>
    <w:rPr>
      <w:i/>
    </w:rPr>
  </w:style>
  <w:style w:type="paragraph" w:styleId="Footer">
    <w:name w:val="footer"/>
    <w:basedOn w:val="Normal"/>
    <w:rsid w:val="00FA67AB"/>
    <w:pPr>
      <w:spacing w:after="0"/>
      <w:ind w:left="0" w:right="0"/>
    </w:pPr>
    <w:rPr>
      <w:rFonts w:ascii="Arial" w:hAnsi="Arial"/>
      <w:sz w:val="16"/>
    </w:rPr>
  </w:style>
  <w:style w:type="paragraph" w:styleId="Header">
    <w:name w:val="header"/>
    <w:basedOn w:val="Normal"/>
    <w:rsid w:val="00D438D5"/>
    <w:pPr>
      <w:spacing w:after="0"/>
      <w:ind w:left="0" w:right="0"/>
    </w:pPr>
    <w:rPr>
      <w:rFonts w:ascii="Arial" w:hAnsi="Arial"/>
      <w:sz w:val="20"/>
    </w:rPr>
  </w:style>
  <w:style w:type="paragraph" w:customStyle="1" w:styleId="Tabell">
    <w:name w:val="Tabell"/>
    <w:basedOn w:val="Normal"/>
    <w:rsid w:val="00A7036F"/>
    <w:pPr>
      <w:spacing w:before="40" w:after="40"/>
      <w:ind w:left="0" w:right="0"/>
    </w:pPr>
    <w:rPr>
      <w:rFonts w:ascii="Arial" w:hAnsi="Arial"/>
      <w:sz w:val="20"/>
    </w:rPr>
  </w:style>
  <w:style w:type="character" w:styleId="PageNumber">
    <w:name w:val="page number"/>
    <w:basedOn w:val="DefaultParagraphFont"/>
  </w:style>
  <w:style w:type="paragraph" w:customStyle="1" w:styleId="Sidhuvudledtext">
    <w:name w:val="Sidhuvud_ledtext"/>
    <w:basedOn w:val="Header"/>
    <w:rsid w:val="00B87953"/>
    <w:pPr>
      <w:spacing w:before="100"/>
    </w:pPr>
    <w:rPr>
      <w:sz w:val="14"/>
    </w:rPr>
  </w:style>
  <w:style w:type="paragraph" w:customStyle="1" w:styleId="Hlsningar">
    <w:name w:val="Hälsningar"/>
    <w:basedOn w:val="Normal"/>
    <w:next w:val="Normal"/>
    <w:rsid w:val="00571E91"/>
    <w:pPr>
      <w:keepNext/>
      <w:spacing w:before="360" w:after="960"/>
    </w:pPr>
  </w:style>
  <w:style w:type="paragraph" w:customStyle="1" w:styleId="Sidfotledtext">
    <w:name w:val="Sidfot_ledtext"/>
    <w:basedOn w:val="Footer"/>
    <w:next w:val="Footer"/>
    <w:rsid w:val="008E2677"/>
    <w:pPr>
      <w:spacing w:before="60"/>
    </w:pPr>
    <w:rPr>
      <w:sz w:val="12"/>
      <w:szCs w:val="12"/>
    </w:rPr>
  </w:style>
  <w:style w:type="paragraph" w:customStyle="1" w:styleId="Logotyp">
    <w:name w:val="Logotyp"/>
    <w:basedOn w:val="Header"/>
    <w:rsid w:val="0037042E"/>
    <w:pPr>
      <w:spacing w:after="240"/>
    </w:pPr>
  </w:style>
  <w:style w:type="paragraph" w:customStyle="1" w:styleId="Normal1">
    <w:name w:val="Normal1"/>
    <w:basedOn w:val="Normal"/>
    <w:rsid w:val="00DF4EBA"/>
    <w:pPr>
      <w:spacing w:before="100" w:beforeAutospacing="1" w:after="100" w:afterAutospacing="1"/>
      <w:ind w:left="0" w:right="0"/>
    </w:pPr>
    <w:rPr>
      <w:szCs w:val="24"/>
    </w:rPr>
  </w:style>
  <w:style w:type="paragraph" w:styleId="ListParagraph">
    <w:name w:val="List Paragraph"/>
    <w:basedOn w:val="Normal"/>
    <w:uiPriority w:val="34"/>
    <w:qFormat/>
    <w:rsid w:val="00EC6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1870</Words>
  <Characters>9917</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vt:lpstr>
      <vt:lpstr>Dokument</vt:lpstr>
    </vt:vector>
  </TitlesOfParts>
  <Company>Bengtsfors kommun</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Anders Alin</dc:creator>
  <cp:lastModifiedBy>Christine Harnell</cp:lastModifiedBy>
  <cp:revision>3</cp:revision>
  <cp:lastPrinted>2003-09-08T16:29:00Z</cp:lastPrinted>
  <dcterms:created xsi:type="dcterms:W3CDTF">2025-01-14T12:25:00Z</dcterms:created>
  <dcterms:modified xsi:type="dcterms:W3CDTF">2025-01-14T12:31:00Z</dcterms:modified>
</cp:coreProperties>
</file>